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1D71D5BA" w:rsidR="00547714" w:rsidRPr="00547714" w:rsidRDefault="00EC1247" w:rsidP="00547714">
            <w:pPr>
              <w:rPr>
                <w:rFonts w:ascii="Arial" w:hAnsi="Arial" w:cs="Arial"/>
              </w:rPr>
            </w:pPr>
            <w:r>
              <w:rPr>
                <w:rFonts w:ascii="Arial" w:hAnsi="Arial" w:cs="Arial"/>
              </w:rPr>
              <w:t>Council Wide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B2ED8EC" w:rsidR="00547714" w:rsidRPr="00547714" w:rsidRDefault="00EC1247" w:rsidP="00547714">
            <w:pPr>
              <w:rPr>
                <w:rFonts w:ascii="Arial" w:hAnsi="Arial" w:cs="Arial"/>
              </w:rPr>
            </w:pPr>
            <w:r>
              <w:rPr>
                <w:rFonts w:ascii="Arial" w:hAnsi="Arial" w:cs="Arial"/>
              </w:rPr>
              <w:t>Council Wide</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7661E105" w:rsidR="00547714" w:rsidRPr="00547714" w:rsidRDefault="00EC1247" w:rsidP="00547714">
            <w:pPr>
              <w:rPr>
                <w:rFonts w:ascii="Arial" w:hAnsi="Arial" w:cs="Arial"/>
              </w:rPr>
            </w:pPr>
            <w:r>
              <w:rPr>
                <w:rFonts w:ascii="Arial" w:hAnsi="Arial" w:cs="Arial"/>
              </w:rPr>
              <w:t>The Budget Process</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7A0DAC80" w:rsidR="00547714" w:rsidRPr="00547714" w:rsidRDefault="00EC1247" w:rsidP="00547714">
            <w:pPr>
              <w:rPr>
                <w:rFonts w:ascii="Arial" w:hAnsi="Arial" w:cs="Arial"/>
              </w:rPr>
            </w:pPr>
            <w:r>
              <w:rPr>
                <w:rFonts w:ascii="Arial" w:hAnsi="Arial" w:cs="Arial"/>
              </w:rPr>
              <w:t>Setting the 202</w:t>
            </w:r>
            <w:r w:rsidR="00F532FA">
              <w:rPr>
                <w:rFonts w:ascii="Arial" w:hAnsi="Arial" w:cs="Arial"/>
              </w:rPr>
              <w:t>3</w:t>
            </w:r>
            <w:r>
              <w:rPr>
                <w:rFonts w:ascii="Arial" w:hAnsi="Arial" w:cs="Arial"/>
              </w:rPr>
              <w:t>/202</w:t>
            </w:r>
            <w:r w:rsidR="00F532FA">
              <w:rPr>
                <w:rFonts w:ascii="Arial" w:hAnsi="Arial" w:cs="Arial"/>
              </w:rPr>
              <w:t>4</w:t>
            </w:r>
            <w:r>
              <w:rPr>
                <w:rFonts w:ascii="Arial" w:hAnsi="Arial" w:cs="Arial"/>
              </w:rPr>
              <w:t xml:space="preserve"> budget and associated savings requirement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6E5B287" w:rsidR="00547714" w:rsidRPr="00547714" w:rsidRDefault="00EC1247" w:rsidP="00547714">
            <w:pPr>
              <w:rPr>
                <w:rFonts w:ascii="Arial" w:hAnsi="Arial" w:cs="Arial"/>
              </w:rPr>
            </w:pPr>
            <w:r>
              <w:rPr>
                <w:rFonts w:ascii="Arial" w:hAnsi="Arial" w:cs="Arial"/>
              </w:rPr>
              <w:t>Toni Nash – Head of Finance - Corporate</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31E397D0" w:rsidR="00547714" w:rsidRPr="00547714" w:rsidRDefault="00EC1247" w:rsidP="00547714">
            <w:pPr>
              <w:rPr>
                <w:rFonts w:ascii="Arial" w:hAnsi="Arial" w:cs="Arial"/>
              </w:rPr>
            </w:pPr>
            <w:r>
              <w:rPr>
                <w:rFonts w:ascii="Arial" w:hAnsi="Arial" w:cs="Arial"/>
              </w:rPr>
              <w:t>January 2022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5B64B771"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EC1247">
        <w:rPr>
          <w:rFonts w:ascii="Arial" w:eastAsia="Times New Roman" w:hAnsi="Arial" w:cs="Arial"/>
        </w:rPr>
        <w:t>Toni Nash head of Finance</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6F8E491C" w:rsidR="00547714" w:rsidRPr="004F09AD" w:rsidRDefault="00F532FA" w:rsidP="009F5BFE">
            <w:pPr>
              <w:spacing w:after="0" w:line="240" w:lineRule="auto"/>
              <w:rPr>
                <w:rFonts w:ascii="Arial" w:eastAsia="Times New Roman" w:hAnsi="Arial" w:cs="Arial"/>
                <w:sz w:val="24"/>
                <w:szCs w:val="24"/>
              </w:rPr>
            </w:pPr>
            <w:r>
              <w:rPr>
                <w:rFonts w:ascii="Arial" w:eastAsia="Times New Roman" w:hAnsi="Arial" w:cs="Arial"/>
                <w:sz w:val="24"/>
                <w:szCs w:val="24"/>
              </w:rPr>
              <w:t>Pete Shillcock</w:t>
            </w:r>
          </w:p>
        </w:tc>
        <w:tc>
          <w:tcPr>
            <w:tcW w:w="1128" w:type="pct"/>
            <w:shd w:val="clear" w:color="auto" w:fill="auto"/>
          </w:tcPr>
          <w:p w14:paraId="229D6FEF" w14:textId="58B1D4E4"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Group Accountant Corporate</w:t>
            </w:r>
          </w:p>
        </w:tc>
        <w:tc>
          <w:tcPr>
            <w:tcW w:w="1128" w:type="pct"/>
            <w:shd w:val="clear" w:color="auto" w:fill="auto"/>
          </w:tcPr>
          <w:p w14:paraId="0CDBF1E7" w14:textId="50FA0D19"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4201C541"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MTFP</w:t>
            </w:r>
          </w:p>
        </w:tc>
      </w:tr>
      <w:tr w:rsidR="00547714" w:rsidRPr="004F09AD" w14:paraId="2E333935" w14:textId="77777777" w:rsidTr="00C5182C">
        <w:tc>
          <w:tcPr>
            <w:tcW w:w="1359" w:type="pct"/>
            <w:shd w:val="clear" w:color="auto" w:fill="auto"/>
          </w:tcPr>
          <w:p w14:paraId="79F6D015" w14:textId="211EAF92"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Ann Webster</w:t>
            </w:r>
          </w:p>
        </w:tc>
        <w:tc>
          <w:tcPr>
            <w:tcW w:w="1128" w:type="pct"/>
            <w:shd w:val="clear" w:color="auto" w:fill="auto"/>
          </w:tcPr>
          <w:p w14:paraId="0C99B78F" w14:textId="6AD9B1BB"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Lead on Equality and Diversity</w:t>
            </w:r>
          </w:p>
        </w:tc>
        <w:tc>
          <w:tcPr>
            <w:tcW w:w="1128" w:type="pct"/>
            <w:shd w:val="clear" w:color="auto" w:fill="auto"/>
          </w:tcPr>
          <w:p w14:paraId="00239B3B" w14:textId="61ACD086"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0C79B5E3" w:rsidR="00547714" w:rsidRPr="004F09AD" w:rsidRDefault="00EC1247"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and Diversity</w:t>
            </w: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6170D62A" w14:textId="17A3A07C" w:rsidR="00F532FA" w:rsidRDefault="00EC1247" w:rsidP="00EC1247">
            <w:pPr>
              <w:rPr>
                <w:rFonts w:ascii="Arial" w:hAnsi="Arial" w:cs="Arial"/>
              </w:rPr>
            </w:pPr>
            <w:r w:rsidRPr="00EC1247">
              <w:rPr>
                <w:rFonts w:ascii="Arial" w:hAnsi="Arial" w:cs="Arial"/>
              </w:rPr>
              <w:t>The Council has a statutory responsibility to prepare a balanced budget for 202</w:t>
            </w:r>
            <w:r w:rsidR="009E0460">
              <w:rPr>
                <w:rFonts w:ascii="Arial" w:hAnsi="Arial" w:cs="Arial"/>
              </w:rPr>
              <w:t>3</w:t>
            </w:r>
            <w:r w:rsidRPr="00EC1247">
              <w:rPr>
                <w:rFonts w:ascii="Arial" w:hAnsi="Arial" w:cs="Arial"/>
              </w:rPr>
              <w:t>/2</w:t>
            </w:r>
            <w:r w:rsidR="009E0460">
              <w:rPr>
                <w:rFonts w:ascii="Arial" w:hAnsi="Arial" w:cs="Arial"/>
              </w:rPr>
              <w:t>4</w:t>
            </w:r>
            <w:r w:rsidRPr="00EC1247">
              <w:rPr>
                <w:rFonts w:ascii="Arial" w:hAnsi="Arial" w:cs="Arial"/>
              </w:rPr>
              <w:t>.  Reductions in government funding the impact of the global pandemic</w:t>
            </w:r>
            <w:r w:rsidR="00F532FA">
              <w:rPr>
                <w:rFonts w:ascii="Arial" w:hAnsi="Arial" w:cs="Arial"/>
              </w:rPr>
              <w:t>, the War in the Ukraine and the impact on the global economy</w:t>
            </w:r>
            <w:r w:rsidR="009E0460">
              <w:rPr>
                <w:rFonts w:ascii="Arial" w:hAnsi="Arial" w:cs="Arial"/>
              </w:rPr>
              <w:t xml:space="preserve"> (cost of living crisis)</w:t>
            </w:r>
            <w:r w:rsidR="00F532FA">
              <w:rPr>
                <w:rFonts w:ascii="Arial" w:hAnsi="Arial" w:cs="Arial"/>
              </w:rPr>
              <w:t xml:space="preserve"> </w:t>
            </w:r>
            <w:r w:rsidRPr="00EC1247">
              <w:rPr>
                <w:rFonts w:ascii="Arial" w:hAnsi="Arial" w:cs="Arial"/>
              </w:rPr>
              <w:t xml:space="preserve">and increased pressures </w:t>
            </w:r>
            <w:r w:rsidRPr="00EC1247">
              <w:rPr>
                <w:rFonts w:ascii="Arial" w:hAnsi="Arial" w:cs="Arial"/>
              </w:rPr>
              <w:lastRenderedPageBreak/>
              <w:t xml:space="preserve">mainly in </w:t>
            </w:r>
            <w:r>
              <w:rPr>
                <w:rFonts w:ascii="Arial" w:hAnsi="Arial" w:cs="Arial"/>
              </w:rPr>
              <w:t>S</w:t>
            </w:r>
            <w:r w:rsidRPr="00EC1247">
              <w:rPr>
                <w:rFonts w:ascii="Arial" w:hAnsi="Arial" w:cs="Arial"/>
              </w:rPr>
              <w:t>ocial</w:t>
            </w:r>
            <w:r>
              <w:rPr>
                <w:rFonts w:ascii="Arial" w:hAnsi="Arial" w:cs="Arial"/>
                <w:sz w:val="28"/>
                <w:szCs w:val="28"/>
              </w:rPr>
              <w:t xml:space="preserve"> </w:t>
            </w:r>
            <w:r w:rsidRPr="00EC1247">
              <w:rPr>
                <w:rFonts w:ascii="Arial" w:hAnsi="Arial" w:cs="Arial"/>
              </w:rPr>
              <w:t>Care will inevitably lead to the Council having to reduce spending on the services it delivers.</w:t>
            </w:r>
          </w:p>
          <w:p w14:paraId="49D7A4B2" w14:textId="77777777" w:rsidR="00EC1247" w:rsidRPr="00EC1247" w:rsidRDefault="00EC1247" w:rsidP="00EC1247">
            <w:pPr>
              <w:rPr>
                <w:rFonts w:ascii="Arial" w:eastAsia="Times New Roman" w:hAnsi="Arial" w:cs="Arial"/>
              </w:rPr>
            </w:pPr>
            <w:r w:rsidRPr="00EC1247">
              <w:rPr>
                <w:rFonts w:ascii="Arial" w:eastAsia="Times New Roman" w:hAnsi="Arial" w:cs="Arial"/>
              </w:rPr>
              <w:t>The above link takes you to the December budget report which outlines the budget savings</w:t>
            </w:r>
          </w:p>
          <w:p w14:paraId="70D60AEA" w14:textId="77777777" w:rsidR="00EC1247" w:rsidRDefault="00EC1247" w:rsidP="00EC1247">
            <w:pPr>
              <w:rPr>
                <w:rFonts w:ascii="Arial" w:eastAsia="Calibri" w:hAnsi="Arial" w:cs="Arial"/>
                <w:sz w:val="28"/>
                <w:szCs w:val="28"/>
              </w:rPr>
            </w:pPr>
          </w:p>
          <w:p w14:paraId="5E6DB36F" w14:textId="1D6FC3C9" w:rsidR="00EC1247" w:rsidRDefault="0007541E" w:rsidP="00EC1247">
            <w:pPr>
              <w:rPr>
                <w:rFonts w:ascii="Arial" w:hAnsi="Arial" w:cs="Arial"/>
              </w:rPr>
            </w:pPr>
            <w:hyperlink r:id="rId10" w:history="1">
              <w:r w:rsidR="00EC1247">
                <w:rPr>
                  <w:rStyle w:val="Hyperlink"/>
                  <w:rFonts w:ascii="Arial" w:hAnsi="Arial" w:cs="Arial"/>
                </w:rPr>
                <w:t>Consultation page</w:t>
              </w:r>
            </w:hyperlink>
          </w:p>
          <w:p w14:paraId="05681DB1" w14:textId="77777777" w:rsidR="00EC1247" w:rsidRDefault="00EC1247" w:rsidP="00EC1247">
            <w:pPr>
              <w:rPr>
                <w:rFonts w:ascii="Arial" w:hAnsi="Arial" w:cs="Arial"/>
              </w:rPr>
            </w:pPr>
          </w:p>
          <w:p w14:paraId="45B3C0AF" w14:textId="144761B7" w:rsidR="00547714" w:rsidRPr="00EC1247" w:rsidRDefault="00EC1247" w:rsidP="00EC1247">
            <w:pPr>
              <w:tabs>
                <w:tab w:val="left" w:pos="2210"/>
              </w:tabs>
              <w:rPr>
                <w:rFonts w:ascii="Arial" w:hAnsi="Arial" w:cs="Arial"/>
              </w:rPr>
            </w:pPr>
            <w:r w:rsidRPr="00EC1247">
              <w:rPr>
                <w:rFonts w:ascii="Arial" w:hAnsi="Arial" w:cs="Arial"/>
              </w:rPr>
              <w:t>The above link contains the Council proposals for achieving a balanced budget for 202</w:t>
            </w:r>
            <w:r w:rsidR="00F532FA">
              <w:rPr>
                <w:rFonts w:ascii="Arial" w:hAnsi="Arial" w:cs="Arial"/>
              </w:rPr>
              <w:t>3</w:t>
            </w:r>
            <w:r w:rsidRPr="00EC1247">
              <w:rPr>
                <w:rFonts w:ascii="Arial" w:hAnsi="Arial" w:cs="Arial"/>
              </w:rPr>
              <w:t>/2</w:t>
            </w:r>
            <w:r w:rsidR="00F532FA">
              <w:rPr>
                <w:rFonts w:ascii="Arial" w:hAnsi="Arial" w:cs="Arial"/>
              </w:rPr>
              <w:t>4</w:t>
            </w:r>
            <w:r w:rsidRPr="00EC1247">
              <w:rPr>
                <w:rFonts w:ascii="Arial" w:hAnsi="Arial" w:cs="Arial"/>
              </w:rPr>
              <w:t xml:space="preserve">.  </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5802E168" w:rsidR="00547714" w:rsidRPr="00547714" w:rsidRDefault="006041E6" w:rsidP="00547714">
            <w:pPr>
              <w:tabs>
                <w:tab w:val="left" w:pos="2210"/>
              </w:tabs>
              <w:rPr>
                <w:rFonts w:ascii="Arial" w:hAnsi="Arial" w:cs="Arial"/>
              </w:rPr>
            </w:pPr>
            <w:r>
              <w:rPr>
                <w:rFonts w:ascii="Arial" w:hAnsi="Arial" w:cs="Arial"/>
              </w:rPr>
              <w:t>To set a balanced budget for Derby City Council</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164F516D" w14:textId="77777777" w:rsidR="00EC1247" w:rsidRPr="006041E6" w:rsidRDefault="00EC1247" w:rsidP="00EC1247">
            <w:pPr>
              <w:rPr>
                <w:rFonts w:ascii="Arial" w:hAnsi="Arial" w:cs="Arial"/>
              </w:rPr>
            </w:pPr>
            <w:r w:rsidRPr="006041E6">
              <w:rPr>
                <w:rFonts w:ascii="Arial" w:hAnsi="Arial" w:cs="Arial"/>
              </w:rPr>
              <w:t>This consultation was led by Paul Simpson Chief Executive and Simon Riley the Strategic Director of Corporate Resources.</w:t>
            </w:r>
          </w:p>
          <w:p w14:paraId="24A0109E" w14:textId="70B4EC0A" w:rsidR="00547714" w:rsidRPr="00547714" w:rsidRDefault="00EC1247" w:rsidP="00EC1247">
            <w:pPr>
              <w:tabs>
                <w:tab w:val="left" w:pos="2210"/>
              </w:tabs>
              <w:rPr>
                <w:rFonts w:ascii="Arial" w:hAnsi="Arial" w:cs="Arial"/>
              </w:rPr>
            </w:pPr>
            <w:r w:rsidRPr="006041E6">
              <w:rPr>
                <w:rFonts w:ascii="Arial" w:hAnsi="Arial" w:cs="Arial"/>
              </w:rPr>
              <w:t>Budget proposals have been consulted on with Strategic Director</w:t>
            </w:r>
            <w:r w:rsidR="00F532FA">
              <w:rPr>
                <w:rFonts w:ascii="Arial" w:hAnsi="Arial" w:cs="Arial"/>
              </w:rPr>
              <w:t>/Directors/appropriate members of staff</w:t>
            </w:r>
            <w:r w:rsidRPr="006041E6">
              <w:rPr>
                <w:rFonts w:ascii="Arial" w:hAnsi="Arial" w:cs="Arial"/>
              </w:rPr>
              <w:t xml:space="preserve"> and Council Cabinet.  Further consultation has been carried out with citizens, scrutiny meetings, business rate payers and with representatives from the Equality Hubs and Forums – the consultation period ran from </w:t>
            </w:r>
            <w:r w:rsidRPr="009E0460">
              <w:rPr>
                <w:rFonts w:ascii="Arial" w:hAnsi="Arial" w:cs="Arial"/>
              </w:rPr>
              <w:t>22 December 202</w:t>
            </w:r>
            <w:r w:rsidR="009E0460" w:rsidRPr="009E0460">
              <w:rPr>
                <w:rFonts w:ascii="Arial" w:hAnsi="Arial" w:cs="Arial"/>
              </w:rPr>
              <w:t>2</w:t>
            </w:r>
            <w:r w:rsidRPr="009E0460">
              <w:rPr>
                <w:rFonts w:ascii="Arial" w:hAnsi="Arial" w:cs="Arial"/>
              </w:rPr>
              <w:t xml:space="preserve"> to 2</w:t>
            </w:r>
            <w:r w:rsidR="00F532FA" w:rsidRPr="009E0460">
              <w:rPr>
                <w:rFonts w:ascii="Arial" w:hAnsi="Arial" w:cs="Arial"/>
              </w:rPr>
              <w:t>6</w:t>
            </w:r>
            <w:r w:rsidRPr="009E0460">
              <w:rPr>
                <w:rFonts w:ascii="Arial" w:hAnsi="Arial" w:cs="Arial"/>
              </w:rPr>
              <w:t xml:space="preserve"> January 202</w:t>
            </w:r>
            <w:r w:rsidR="00F532FA" w:rsidRPr="009E0460">
              <w:rPr>
                <w:rFonts w:ascii="Arial" w:hAnsi="Arial" w:cs="Arial"/>
              </w:rPr>
              <w:t>3</w:t>
            </w:r>
            <w:r w:rsidR="00F532FA">
              <w:rPr>
                <w:rFonts w:ascii="Arial" w:hAnsi="Arial" w:cs="Arial"/>
              </w:rPr>
              <w:t xml:space="preserve"> </w:t>
            </w:r>
            <w:r w:rsidR="009E0460">
              <w:rPr>
                <w:rFonts w:ascii="Arial" w:hAnsi="Arial" w:cs="Arial"/>
              </w:rPr>
              <w:t>.</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6B44E827" w14:textId="7927E60E" w:rsidR="006041E6" w:rsidRPr="006041E6" w:rsidRDefault="006041E6" w:rsidP="00C37AF4">
            <w:pPr>
              <w:rPr>
                <w:rFonts w:ascii="Arial" w:eastAsia="Times New Roman" w:hAnsi="Arial" w:cs="Arial"/>
                <w:b/>
              </w:rPr>
            </w:pPr>
            <w:r w:rsidRPr="006041E6">
              <w:rPr>
                <w:rFonts w:ascii="Arial" w:hAnsi="Arial" w:cs="Arial"/>
              </w:rPr>
              <w:t xml:space="preserve">Potentially, any citizen </w:t>
            </w:r>
            <w:r w:rsidR="00A76BBF">
              <w:rPr>
                <w:rFonts w:ascii="Arial" w:hAnsi="Arial" w:cs="Arial"/>
              </w:rPr>
              <w:t xml:space="preserve">who lives, works or visits the city including </w:t>
            </w:r>
            <w:r w:rsidRPr="006041E6">
              <w:rPr>
                <w:rFonts w:ascii="Arial" w:hAnsi="Arial" w:cs="Arial"/>
              </w:rPr>
              <w:t xml:space="preserve">Council colleagues </w:t>
            </w:r>
          </w:p>
          <w:p w14:paraId="762F8C90" w14:textId="77777777" w:rsidR="00547714" w:rsidRPr="00547714" w:rsidRDefault="00547714" w:rsidP="00547714">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39BF9C0F" w:rsidR="00547714" w:rsidRPr="00547714" w:rsidRDefault="006041E6" w:rsidP="009F5BFE">
            <w:pPr>
              <w:tabs>
                <w:tab w:val="left" w:pos="2210"/>
              </w:tabs>
              <w:rPr>
                <w:rFonts w:ascii="Arial" w:hAnsi="Arial" w:cs="Arial"/>
              </w:rPr>
            </w:pPr>
            <w:r w:rsidRPr="006041E6">
              <w:rPr>
                <w:rFonts w:ascii="Arial" w:hAnsi="Arial" w:cs="Arial"/>
              </w:rPr>
              <w:t>Budget proposals have been consulted on with Strategic Directors and Council Cabinet.  Further consultation has been carried out with citizens, scrutiny meetings, business rate payers and with representatives from the Equality Hubs and Forums – the consultation period ran from 22 December 202</w:t>
            </w:r>
            <w:r w:rsidR="00F532FA">
              <w:rPr>
                <w:rFonts w:ascii="Arial" w:hAnsi="Arial" w:cs="Arial"/>
              </w:rPr>
              <w:t>2</w:t>
            </w:r>
            <w:r w:rsidRPr="006041E6">
              <w:rPr>
                <w:rFonts w:ascii="Arial" w:hAnsi="Arial" w:cs="Arial"/>
              </w:rPr>
              <w:t xml:space="preserve"> to 2</w:t>
            </w:r>
            <w:r w:rsidR="00F532FA">
              <w:rPr>
                <w:rFonts w:ascii="Arial" w:hAnsi="Arial" w:cs="Arial"/>
              </w:rPr>
              <w:t>6</w:t>
            </w:r>
            <w:r w:rsidRPr="006041E6">
              <w:rPr>
                <w:rFonts w:ascii="Arial" w:hAnsi="Arial" w:cs="Arial"/>
              </w:rPr>
              <w:t xml:space="preserve"> January</w:t>
            </w:r>
            <w:r w:rsidR="00F532FA">
              <w:rPr>
                <w:rFonts w:ascii="Arial" w:hAnsi="Arial" w:cs="Arial"/>
              </w:rPr>
              <w:t xml:space="preserve"> 202</w:t>
            </w:r>
            <w:r w:rsidR="009E0460">
              <w:rPr>
                <w:rFonts w:ascii="Arial" w:hAnsi="Arial" w:cs="Arial"/>
              </w:rPr>
              <w:t>3</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Also, use any other information you know about such as any customer feedback, surveys, national research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lastRenderedPageBreak/>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5B60F43A" w14:textId="2CBFDB5D" w:rsidR="0003333F" w:rsidRDefault="0003333F" w:rsidP="009F5BFE">
            <w:pPr>
              <w:spacing w:after="0" w:line="240" w:lineRule="auto"/>
              <w:rPr>
                <w:rFonts w:ascii="Arial" w:eastAsia="Times New Roman" w:hAnsi="Arial" w:cs="Arial"/>
              </w:rPr>
            </w:pPr>
            <w:r>
              <w:rPr>
                <w:rFonts w:ascii="Arial" w:eastAsia="Times New Roman" w:hAnsi="Arial" w:cs="Arial"/>
              </w:rPr>
              <w:t xml:space="preserve">Some of our proposals </w:t>
            </w:r>
            <w:r w:rsidR="00AA4566">
              <w:rPr>
                <w:rFonts w:ascii="Arial" w:eastAsia="Times New Roman" w:hAnsi="Arial" w:cs="Arial"/>
              </w:rPr>
              <w:t>may</w:t>
            </w:r>
            <w:r>
              <w:rPr>
                <w:rFonts w:ascii="Arial" w:eastAsia="Times New Roman" w:hAnsi="Arial" w:cs="Arial"/>
              </w:rPr>
              <w:t xml:space="preserve"> affect people of different ages,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07F581F4" w14:textId="77777777" w:rsidR="0003333F" w:rsidRDefault="0003333F" w:rsidP="009F5BFE">
            <w:pPr>
              <w:spacing w:after="0" w:line="240" w:lineRule="auto"/>
              <w:rPr>
                <w:rFonts w:ascii="Arial" w:eastAsia="Times New Roman" w:hAnsi="Arial" w:cs="Arial"/>
              </w:rPr>
            </w:pPr>
          </w:p>
          <w:p w14:paraId="06BE2CBC" w14:textId="5DA205A9" w:rsidR="00547714" w:rsidRPr="006041E6" w:rsidRDefault="00547714" w:rsidP="009F5BFE">
            <w:pPr>
              <w:spacing w:after="0" w:line="240" w:lineRule="auto"/>
              <w:rPr>
                <w:rFonts w:ascii="Arial" w:eastAsia="Times New Roman" w:hAnsi="Arial" w:cs="Arial"/>
                <w:b/>
              </w:rPr>
            </w:pPr>
          </w:p>
        </w:tc>
        <w:tc>
          <w:tcPr>
            <w:tcW w:w="361" w:type="pct"/>
            <w:shd w:val="clear" w:color="auto" w:fill="auto"/>
          </w:tcPr>
          <w:p w14:paraId="48C6D853" w14:textId="46476930" w:rsidR="00547714" w:rsidRPr="00C37AF4" w:rsidRDefault="00A76BBF" w:rsidP="009F5BFE">
            <w:pPr>
              <w:spacing w:after="0" w:line="240" w:lineRule="auto"/>
              <w:rPr>
                <w:rFonts w:ascii="Arial" w:eastAsia="Times New Roman" w:hAnsi="Arial" w:cs="Arial"/>
                <w:bCs/>
              </w:rPr>
            </w:pPr>
            <w:r>
              <w:rPr>
                <w:rFonts w:ascii="Arial" w:eastAsia="Times New Roman" w:hAnsi="Arial" w:cs="Arial"/>
                <w:b/>
              </w:rPr>
              <w:t xml:space="preserve"> </w:t>
            </w:r>
            <w:r w:rsidR="00C37AF4" w:rsidRPr="006E3148">
              <w:rPr>
                <w:rFonts w:ascii="Arial" w:eastAsia="Times New Roman" w:hAnsi="Arial" w:cs="Arial"/>
                <w:bCs/>
              </w:rPr>
              <w:t>I</w:t>
            </w:r>
            <w:r w:rsidRPr="00C37AF4">
              <w:rPr>
                <w:rFonts w:ascii="Arial" w:eastAsia="Times New Roman" w:hAnsi="Arial" w:cs="Arial"/>
                <w:bCs/>
              </w:rPr>
              <w:t xml:space="preserve">ndicated </w:t>
            </w:r>
            <w:r>
              <w:rPr>
                <w:rFonts w:ascii="Arial" w:eastAsia="Times New Roman" w:hAnsi="Arial" w:cs="Arial"/>
                <w:bCs/>
              </w:rPr>
              <w:t xml:space="preserve">on </w:t>
            </w:r>
            <w:r w:rsidRPr="00C37AF4">
              <w:rPr>
                <w:rFonts w:ascii="Arial" w:eastAsia="Times New Roman" w:hAnsi="Arial" w:cs="Arial"/>
                <w:bCs/>
              </w:rPr>
              <w:t>EIA</w:t>
            </w:r>
            <w:r>
              <w:rPr>
                <w:rFonts w:ascii="Arial" w:eastAsia="Times New Roman" w:hAnsi="Arial" w:cs="Arial"/>
                <w:bCs/>
              </w:rPr>
              <w:t>s</w:t>
            </w:r>
          </w:p>
        </w:tc>
        <w:tc>
          <w:tcPr>
            <w:tcW w:w="363" w:type="pct"/>
            <w:shd w:val="clear" w:color="auto" w:fill="auto"/>
          </w:tcPr>
          <w:p w14:paraId="0F65D28E" w14:textId="18CC98F7" w:rsidR="00547714"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504B425D" w14:textId="3EA9C063" w:rsidR="00547714" w:rsidRPr="006041E6" w:rsidRDefault="006041E6"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sidR="0003333F">
              <w:rPr>
                <w:rFonts w:ascii="Arial" w:eastAsia="Times New Roman" w:hAnsi="Arial" w:cs="Arial"/>
              </w:rPr>
              <w:t xml:space="preserve">  Where colleagues and citizens are involved, mitigating actions are included for both.</w:t>
            </w: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7FDBAF63" w14:textId="01C341F1" w:rsidR="00AA4566" w:rsidRDefault="00AA4566" w:rsidP="00AA4566">
            <w:pPr>
              <w:spacing w:after="0" w:line="240" w:lineRule="auto"/>
              <w:rPr>
                <w:rFonts w:ascii="Arial" w:eastAsia="Times New Roman" w:hAnsi="Arial" w:cs="Arial"/>
              </w:rPr>
            </w:pPr>
            <w:r>
              <w:rPr>
                <w:rFonts w:ascii="Arial" w:eastAsia="Times New Roman" w:hAnsi="Arial" w:cs="Arial"/>
              </w:rPr>
              <w:t>Some of our proposals may affect disabled people,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29E47528" w14:textId="77777777" w:rsidR="00AA4566" w:rsidRDefault="00AA4566" w:rsidP="00AA4566">
            <w:pPr>
              <w:spacing w:after="0" w:line="240" w:lineRule="auto"/>
              <w:rPr>
                <w:rFonts w:ascii="Arial" w:eastAsia="Times New Roman" w:hAnsi="Arial" w:cs="Arial"/>
              </w:rPr>
            </w:pPr>
          </w:p>
          <w:p w14:paraId="02DC129E" w14:textId="6A22F56E" w:rsidR="006041E6" w:rsidRPr="006041E6" w:rsidRDefault="006041E6" w:rsidP="006041E6">
            <w:pPr>
              <w:spacing w:after="0" w:line="240" w:lineRule="auto"/>
              <w:rPr>
                <w:rFonts w:ascii="Arial" w:eastAsia="Times New Roman" w:hAnsi="Arial" w:cs="Arial"/>
              </w:rPr>
            </w:pPr>
          </w:p>
          <w:p w14:paraId="47F3B25F" w14:textId="7AE71E2D" w:rsidR="00547714" w:rsidRPr="00C5182C" w:rsidRDefault="00547714" w:rsidP="009F5BFE">
            <w:pPr>
              <w:spacing w:after="0" w:line="240" w:lineRule="auto"/>
              <w:rPr>
                <w:rFonts w:ascii="Arial" w:eastAsia="Times New Roman" w:hAnsi="Arial" w:cs="Arial"/>
                <w:b/>
              </w:rPr>
            </w:pPr>
          </w:p>
        </w:tc>
        <w:tc>
          <w:tcPr>
            <w:tcW w:w="361" w:type="pct"/>
            <w:shd w:val="clear" w:color="auto" w:fill="auto"/>
          </w:tcPr>
          <w:p w14:paraId="6B0ECDB0" w14:textId="78E96CCB" w:rsidR="00547714"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31F5B759" w14:textId="2DFFA7E0" w:rsidR="00547714"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3A87A614" w14:textId="5A2E7525" w:rsidR="00547714" w:rsidRPr="006041E6"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37EE5D18" w14:textId="0D579C48" w:rsidR="00AA4566" w:rsidRDefault="00AA4566" w:rsidP="00AA4566">
            <w:pPr>
              <w:spacing w:after="0" w:line="240" w:lineRule="auto"/>
              <w:rPr>
                <w:rFonts w:ascii="Arial" w:eastAsia="Times New Roman" w:hAnsi="Arial" w:cs="Arial"/>
              </w:rPr>
            </w:pPr>
            <w:r>
              <w:rPr>
                <w:rFonts w:ascii="Arial" w:eastAsia="Times New Roman" w:hAnsi="Arial" w:cs="Arial"/>
              </w:rPr>
              <w:t>Some of our proposals may affect trans people,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4E7630C4" w14:textId="77777777" w:rsidR="00AA4566" w:rsidRDefault="00AA4566" w:rsidP="00AA4566">
            <w:pPr>
              <w:spacing w:after="0" w:line="240" w:lineRule="auto"/>
              <w:rPr>
                <w:rFonts w:ascii="Arial" w:eastAsia="Times New Roman" w:hAnsi="Arial" w:cs="Arial"/>
              </w:rPr>
            </w:pPr>
          </w:p>
          <w:p w14:paraId="3AD94DDB" w14:textId="5785A6C0" w:rsidR="00547714" w:rsidRPr="00C5182C" w:rsidRDefault="00547714" w:rsidP="009F5BFE">
            <w:pPr>
              <w:spacing w:after="0" w:line="240" w:lineRule="auto"/>
              <w:rPr>
                <w:rFonts w:ascii="Arial" w:eastAsia="Times New Roman" w:hAnsi="Arial" w:cs="Arial"/>
                <w:b/>
              </w:rPr>
            </w:pPr>
          </w:p>
        </w:tc>
        <w:tc>
          <w:tcPr>
            <w:tcW w:w="361" w:type="pct"/>
            <w:shd w:val="clear" w:color="auto" w:fill="auto"/>
          </w:tcPr>
          <w:p w14:paraId="3D8CA5AC" w14:textId="21EADEED" w:rsidR="00547714"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57BC97FE" w14:textId="251D26EC" w:rsidR="00547714"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791FC350" w14:textId="3D5B0B7C" w:rsidR="00547714" w:rsidRPr="006041E6"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3" w:type="pct"/>
            <w:shd w:val="clear" w:color="auto" w:fill="auto"/>
          </w:tcPr>
          <w:p w14:paraId="5E6ACF8D" w14:textId="591F5195" w:rsidR="00AA4566" w:rsidRDefault="00AA4566" w:rsidP="00AA4566">
            <w:pPr>
              <w:spacing w:after="0" w:line="240" w:lineRule="auto"/>
              <w:rPr>
                <w:rFonts w:ascii="Arial" w:eastAsia="Times New Roman" w:hAnsi="Arial" w:cs="Arial"/>
              </w:rPr>
            </w:pPr>
            <w:r>
              <w:rPr>
                <w:rFonts w:ascii="Arial" w:eastAsia="Times New Roman" w:hAnsi="Arial" w:cs="Arial"/>
              </w:rPr>
              <w:t xml:space="preserve">Some of our proposals may affect married people or people in civil partnerships, but separate individual Equality Impact Assessments are completed on these proposals.  Completed EIAs are posted on the Council’s Equality webpages.  Many of our EIAs involve representatives from our Equality Hubs and </w:t>
            </w:r>
            <w:r>
              <w:rPr>
                <w:rFonts w:ascii="Arial" w:eastAsia="Times New Roman" w:hAnsi="Arial" w:cs="Arial"/>
              </w:rPr>
              <w:lastRenderedPageBreak/>
              <w:t>Forums and Employee Networks.  Where there is an impact on both colleagues as well as citizens these are included in the EIAs</w:t>
            </w:r>
          </w:p>
          <w:p w14:paraId="42A94F08" w14:textId="77777777" w:rsidR="00AA4566" w:rsidRDefault="00AA4566" w:rsidP="00AA4566">
            <w:pPr>
              <w:spacing w:after="0" w:line="240" w:lineRule="auto"/>
              <w:rPr>
                <w:rFonts w:ascii="Arial" w:eastAsia="Times New Roman" w:hAnsi="Arial" w:cs="Arial"/>
              </w:rPr>
            </w:pPr>
          </w:p>
          <w:p w14:paraId="50E0236E" w14:textId="77777777" w:rsidR="00C5182C" w:rsidRPr="006041E6" w:rsidRDefault="00C5182C" w:rsidP="009F5BFE">
            <w:pPr>
              <w:spacing w:after="0" w:line="240" w:lineRule="auto"/>
              <w:rPr>
                <w:rFonts w:ascii="Arial" w:eastAsia="Times New Roman" w:hAnsi="Arial" w:cs="Arial"/>
                <w:b/>
              </w:rPr>
            </w:pPr>
          </w:p>
        </w:tc>
        <w:tc>
          <w:tcPr>
            <w:tcW w:w="361" w:type="pct"/>
            <w:shd w:val="clear" w:color="auto" w:fill="auto"/>
          </w:tcPr>
          <w:p w14:paraId="41BC2501" w14:textId="6A6AFE74"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lastRenderedPageBreak/>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69E45C5F" w14:textId="25B0965D"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78B88D83" w14:textId="4837B434" w:rsidR="00C5182C" w:rsidRPr="006041E6"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7EACA7AF" w14:textId="6C982D40" w:rsidR="00AA4566" w:rsidRDefault="00AA4566" w:rsidP="00AA4566">
            <w:pPr>
              <w:spacing w:after="0" w:line="240" w:lineRule="auto"/>
              <w:rPr>
                <w:rFonts w:ascii="Arial" w:eastAsia="Times New Roman" w:hAnsi="Arial" w:cs="Arial"/>
              </w:rPr>
            </w:pPr>
            <w:r>
              <w:rPr>
                <w:rFonts w:ascii="Arial" w:eastAsia="Times New Roman" w:hAnsi="Arial" w:cs="Arial"/>
              </w:rPr>
              <w:t>Some of our proposals may have an effect on people due to pregnancy and maternity,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40A9D065" w14:textId="77777777" w:rsidR="00AA4566" w:rsidRDefault="00AA4566" w:rsidP="00AA4566">
            <w:pPr>
              <w:spacing w:after="0" w:line="240" w:lineRule="auto"/>
              <w:rPr>
                <w:rFonts w:ascii="Arial" w:eastAsia="Times New Roman" w:hAnsi="Arial" w:cs="Arial"/>
              </w:rPr>
            </w:pPr>
          </w:p>
          <w:p w14:paraId="18135F77" w14:textId="70612E82" w:rsidR="00C5182C" w:rsidRPr="006041E6" w:rsidRDefault="00C5182C" w:rsidP="009F5BFE">
            <w:pPr>
              <w:spacing w:after="0" w:line="240" w:lineRule="auto"/>
              <w:rPr>
                <w:rFonts w:ascii="Arial" w:eastAsia="Times New Roman" w:hAnsi="Arial" w:cs="Arial"/>
              </w:rPr>
            </w:pPr>
          </w:p>
        </w:tc>
        <w:tc>
          <w:tcPr>
            <w:tcW w:w="361" w:type="pct"/>
            <w:shd w:val="clear" w:color="auto" w:fill="auto"/>
          </w:tcPr>
          <w:p w14:paraId="3A4217B2" w14:textId="028528AF"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1493DBBD" w14:textId="49766C35"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07618D7F" w14:textId="5B42151B" w:rsidR="00C5182C" w:rsidRPr="00C5182C"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4D9A37F8" w14:textId="66A2BE90" w:rsidR="00AA4566" w:rsidRDefault="00AA4566" w:rsidP="00AA4566">
            <w:pPr>
              <w:spacing w:after="0" w:line="240" w:lineRule="auto"/>
              <w:rPr>
                <w:rFonts w:ascii="Arial" w:eastAsia="Times New Roman" w:hAnsi="Arial" w:cs="Arial"/>
              </w:rPr>
            </w:pPr>
            <w:r>
              <w:rPr>
                <w:rFonts w:ascii="Arial" w:eastAsia="Times New Roman" w:hAnsi="Arial" w:cs="Arial"/>
              </w:rPr>
              <w:t>Some of our proposals may have an effect on Black, Asian and Minority Ethnic Communities,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3061FB56" w14:textId="77777777" w:rsidR="00AA4566" w:rsidRDefault="00AA4566" w:rsidP="00AA4566">
            <w:pPr>
              <w:spacing w:after="0" w:line="240" w:lineRule="auto"/>
              <w:rPr>
                <w:rFonts w:ascii="Arial" w:eastAsia="Times New Roman" w:hAnsi="Arial" w:cs="Arial"/>
              </w:rPr>
            </w:pPr>
          </w:p>
          <w:p w14:paraId="4CB2D843" w14:textId="77777777" w:rsidR="00C5182C" w:rsidRPr="00C5182C" w:rsidRDefault="00C5182C" w:rsidP="009F5BFE">
            <w:pPr>
              <w:spacing w:after="0" w:line="240" w:lineRule="auto"/>
              <w:rPr>
                <w:rFonts w:ascii="Arial" w:eastAsia="Times New Roman" w:hAnsi="Arial" w:cs="Arial"/>
                <w:b/>
              </w:rPr>
            </w:pPr>
          </w:p>
        </w:tc>
        <w:tc>
          <w:tcPr>
            <w:tcW w:w="361" w:type="pct"/>
            <w:shd w:val="clear" w:color="auto" w:fill="auto"/>
          </w:tcPr>
          <w:p w14:paraId="041F64A6" w14:textId="5F2214A8"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4364F3C5" w14:textId="397F54FC"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12E8A0A4" w14:textId="60D4C17A" w:rsidR="00C5182C" w:rsidRPr="00C5182C"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3" w:type="pct"/>
            <w:shd w:val="clear" w:color="auto" w:fill="auto"/>
          </w:tcPr>
          <w:p w14:paraId="74C1AC87" w14:textId="1DFFCAAC" w:rsidR="00AA4566" w:rsidRDefault="00AA4566" w:rsidP="00AA4566">
            <w:pPr>
              <w:spacing w:after="0" w:line="240" w:lineRule="auto"/>
              <w:rPr>
                <w:rFonts w:ascii="Arial" w:eastAsia="Times New Roman" w:hAnsi="Arial" w:cs="Arial"/>
              </w:rPr>
            </w:pPr>
            <w:r>
              <w:rPr>
                <w:rFonts w:ascii="Arial" w:eastAsia="Times New Roman" w:hAnsi="Arial" w:cs="Arial"/>
              </w:rPr>
              <w:t>Some of our proposals may affect people with religious beliefs or none,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4504B526" w14:textId="77777777" w:rsidR="00AA4566" w:rsidRDefault="00AA4566" w:rsidP="00AA4566">
            <w:pPr>
              <w:spacing w:after="0" w:line="240" w:lineRule="auto"/>
              <w:rPr>
                <w:rFonts w:ascii="Arial" w:eastAsia="Times New Roman" w:hAnsi="Arial" w:cs="Arial"/>
              </w:rPr>
            </w:pPr>
          </w:p>
          <w:p w14:paraId="16BB06A1" w14:textId="77777777" w:rsidR="00C5182C" w:rsidRPr="006041E6" w:rsidRDefault="00C5182C" w:rsidP="009F5BFE">
            <w:pPr>
              <w:spacing w:after="0" w:line="240" w:lineRule="auto"/>
              <w:rPr>
                <w:rFonts w:ascii="Arial" w:eastAsia="Times New Roman" w:hAnsi="Arial" w:cs="Arial"/>
                <w:b/>
              </w:rPr>
            </w:pPr>
          </w:p>
        </w:tc>
        <w:tc>
          <w:tcPr>
            <w:tcW w:w="361" w:type="pct"/>
            <w:shd w:val="clear" w:color="auto" w:fill="auto"/>
          </w:tcPr>
          <w:p w14:paraId="1FFA0078" w14:textId="64EC2D39"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54F0B4FD" w14:textId="538FD034"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315C2CFF" w14:textId="45B5FD51" w:rsidR="00C5182C" w:rsidRPr="00C5182C"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6B414CF0" w14:textId="667132B8" w:rsidR="00AA4566" w:rsidRDefault="00AA4566" w:rsidP="00AA4566">
            <w:pPr>
              <w:spacing w:after="0" w:line="240" w:lineRule="auto"/>
              <w:rPr>
                <w:rFonts w:ascii="Arial" w:eastAsia="Times New Roman" w:hAnsi="Arial" w:cs="Arial"/>
              </w:rPr>
            </w:pPr>
            <w:r>
              <w:rPr>
                <w:rFonts w:ascii="Arial" w:eastAsia="Times New Roman" w:hAnsi="Arial" w:cs="Arial"/>
              </w:rPr>
              <w:t>Some of our proposals may affect women and girls and men and boys,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433185FA" w14:textId="77777777" w:rsidR="00AA4566" w:rsidRDefault="00AA4566" w:rsidP="00AA4566">
            <w:pPr>
              <w:spacing w:after="0" w:line="240" w:lineRule="auto"/>
              <w:rPr>
                <w:rFonts w:ascii="Arial" w:eastAsia="Times New Roman" w:hAnsi="Arial" w:cs="Arial"/>
              </w:rPr>
            </w:pPr>
          </w:p>
          <w:p w14:paraId="0EC2FDE5" w14:textId="77777777" w:rsidR="00C5182C" w:rsidRPr="00C5182C" w:rsidRDefault="00C5182C" w:rsidP="004D4FE4">
            <w:pPr>
              <w:spacing w:after="0" w:line="240" w:lineRule="auto"/>
              <w:rPr>
                <w:rFonts w:ascii="Arial" w:eastAsia="Times New Roman" w:hAnsi="Arial" w:cs="Arial"/>
                <w:b/>
              </w:rPr>
            </w:pPr>
          </w:p>
        </w:tc>
        <w:tc>
          <w:tcPr>
            <w:tcW w:w="361" w:type="pct"/>
            <w:shd w:val="clear" w:color="auto" w:fill="auto"/>
          </w:tcPr>
          <w:p w14:paraId="6992E9B2" w14:textId="4F333554"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441C31A6" w14:textId="7A91BA91"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08A97AEF" w14:textId="558373F4" w:rsidR="00C5182C" w:rsidRPr="00C5182C"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0BED0EF5" w14:textId="42959EDA" w:rsidR="00A76BBF" w:rsidRDefault="00A76BBF" w:rsidP="00A76BBF">
            <w:pPr>
              <w:spacing w:after="0" w:line="240" w:lineRule="auto"/>
              <w:rPr>
                <w:rFonts w:ascii="Arial" w:eastAsia="Times New Roman" w:hAnsi="Arial" w:cs="Arial"/>
              </w:rPr>
            </w:pPr>
            <w:r>
              <w:rPr>
                <w:rFonts w:ascii="Arial" w:eastAsia="Times New Roman" w:hAnsi="Arial" w:cs="Arial"/>
              </w:rPr>
              <w:t>Some of our proposals may affect our LGBTQ+ Community, but separate individual Equality Impact Assessments are completed on these proposals.  Completed EIAs are posted on the Council’s Equality webpages.  Many of our EIAs involve representatives from our Equality Hubs and Forums and Employee Networks.  Where there is an impact on both colleagues as well as citizens these are included in the EIAs</w:t>
            </w:r>
          </w:p>
          <w:p w14:paraId="20637FF5" w14:textId="77777777" w:rsidR="00A76BBF" w:rsidRDefault="00A76BBF" w:rsidP="00A76BBF">
            <w:pPr>
              <w:spacing w:after="0" w:line="240" w:lineRule="auto"/>
              <w:rPr>
                <w:rFonts w:ascii="Arial" w:eastAsia="Times New Roman" w:hAnsi="Arial" w:cs="Arial"/>
              </w:rPr>
            </w:pPr>
          </w:p>
          <w:p w14:paraId="78FCEA39" w14:textId="143B6B6F" w:rsidR="00C5182C" w:rsidRPr="00C5182C" w:rsidRDefault="00C5182C" w:rsidP="009F5BFE">
            <w:pPr>
              <w:spacing w:after="0" w:line="240" w:lineRule="auto"/>
              <w:rPr>
                <w:rFonts w:ascii="Arial" w:eastAsia="Times New Roman" w:hAnsi="Arial" w:cs="Arial"/>
                <w:b/>
              </w:rPr>
            </w:pPr>
          </w:p>
        </w:tc>
        <w:tc>
          <w:tcPr>
            <w:tcW w:w="361" w:type="pct"/>
            <w:shd w:val="clear" w:color="auto" w:fill="auto"/>
          </w:tcPr>
          <w:p w14:paraId="19B27E3A" w14:textId="43AF51D3"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363" w:type="pct"/>
            <w:shd w:val="clear" w:color="auto" w:fill="auto"/>
          </w:tcPr>
          <w:p w14:paraId="6FA131BD" w14:textId="37E2DCF3" w:rsidR="00C5182C" w:rsidRPr="00C5182C" w:rsidRDefault="00A76BBF" w:rsidP="009F5BFE">
            <w:pPr>
              <w:spacing w:after="0" w:line="240" w:lineRule="auto"/>
              <w:rPr>
                <w:rFonts w:ascii="Arial" w:eastAsia="Times New Roman" w:hAnsi="Arial" w:cs="Arial"/>
                <w:b/>
              </w:rPr>
            </w:pPr>
            <w:r w:rsidRPr="00465740">
              <w:rPr>
                <w:rFonts w:ascii="Arial" w:eastAsia="Times New Roman" w:hAnsi="Arial" w:cs="Arial"/>
                <w:bCs/>
              </w:rPr>
              <w:t xml:space="preserve">Indicated </w:t>
            </w:r>
            <w:r>
              <w:rPr>
                <w:rFonts w:ascii="Arial" w:eastAsia="Times New Roman" w:hAnsi="Arial" w:cs="Arial"/>
                <w:bCs/>
              </w:rPr>
              <w:t xml:space="preserve">on </w:t>
            </w:r>
            <w:r w:rsidRPr="00465740">
              <w:rPr>
                <w:rFonts w:ascii="Arial" w:eastAsia="Times New Roman" w:hAnsi="Arial" w:cs="Arial"/>
                <w:bCs/>
              </w:rPr>
              <w:t>EIA</w:t>
            </w:r>
            <w:r>
              <w:rPr>
                <w:rFonts w:ascii="Arial" w:eastAsia="Times New Roman" w:hAnsi="Arial" w:cs="Arial"/>
                <w:bCs/>
              </w:rPr>
              <w:t>s</w:t>
            </w:r>
          </w:p>
        </w:tc>
        <w:tc>
          <w:tcPr>
            <w:tcW w:w="1261" w:type="pct"/>
            <w:shd w:val="clear" w:color="auto" w:fill="auto"/>
          </w:tcPr>
          <w:p w14:paraId="15FE021E" w14:textId="469539D2" w:rsidR="00C5182C" w:rsidRPr="00C5182C" w:rsidRDefault="0003333F" w:rsidP="009F5BFE">
            <w:pPr>
              <w:spacing w:after="0" w:line="240" w:lineRule="auto"/>
              <w:rPr>
                <w:rFonts w:ascii="Arial" w:eastAsia="Times New Roman" w:hAnsi="Arial" w:cs="Arial"/>
                <w:b/>
              </w:rPr>
            </w:pPr>
            <w:r w:rsidRPr="006041E6">
              <w:rPr>
                <w:rFonts w:ascii="Arial" w:eastAsia="Times New Roman" w:hAnsi="Arial" w:cs="Arial"/>
              </w:rPr>
              <w:t>Where negative implications are found, mitigation actions, if any, will be included.</w:t>
            </w:r>
            <w:r>
              <w:rPr>
                <w:rFonts w:ascii="Arial" w:eastAsia="Times New Roman" w:hAnsi="Arial" w:cs="Arial"/>
              </w:rPr>
              <w:t xml:space="preserve">  Where colleagues and citizens are involved, mitigating actions are included for both.</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65D8057A" w:rsidR="00C5182C" w:rsidRPr="00C5182C" w:rsidRDefault="00A76BBF"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lastRenderedPageBreak/>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45174816" w14:textId="77777777" w:rsidR="004D4FE4" w:rsidRDefault="00C5182C" w:rsidP="004D4FE4">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7A31B5FE" w14:textId="77777777" w:rsidR="004D4FE4" w:rsidRDefault="004D4FE4" w:rsidP="004D4FE4">
      <w:pPr>
        <w:spacing w:after="0" w:line="240" w:lineRule="auto"/>
        <w:ind w:left="-709" w:right="-784"/>
        <w:rPr>
          <w:rFonts w:ascii="Arial" w:eastAsia="Times New Roman" w:hAnsi="Arial" w:cs="Arial"/>
        </w:rPr>
      </w:pPr>
    </w:p>
    <w:p w14:paraId="38955B1E" w14:textId="29353B53" w:rsidR="004D4FE4" w:rsidRPr="004D4FE4" w:rsidRDefault="004D4FE4" w:rsidP="004D4FE4">
      <w:pPr>
        <w:spacing w:after="0" w:line="240" w:lineRule="auto"/>
        <w:ind w:left="-709" w:right="-784"/>
        <w:rPr>
          <w:rFonts w:ascii="Arial" w:eastAsia="Times New Roman" w:hAnsi="Arial" w:cs="Arial"/>
        </w:rPr>
      </w:pPr>
      <w:r w:rsidRPr="004D4FE4">
        <w:rPr>
          <w:rFonts w:ascii="Arial" w:hAnsi="Arial" w:cs="Arial"/>
        </w:rPr>
        <w:t>There is and will be inevitably an effect on some people with protected characteristics which may become clearer during the public consultation and scrutiny exercise.  For the key proposals, individual EIAs will be conducted to identify specific mitigating actions where possible.</w:t>
      </w:r>
    </w:p>
    <w:p w14:paraId="78AAD4AF" w14:textId="77777777" w:rsidR="004D4FE4" w:rsidRDefault="004D4FE4" w:rsidP="00C5182C">
      <w:pPr>
        <w:spacing w:after="0" w:line="240" w:lineRule="auto"/>
        <w:ind w:left="-709" w:right="-784"/>
        <w:rPr>
          <w:rFonts w:ascii="Arial" w:eastAsia="Times New Roman" w:hAnsi="Arial" w:cs="Arial"/>
        </w:rPr>
      </w:pPr>
    </w:p>
    <w:p w14:paraId="53751F28" w14:textId="3339A095" w:rsidR="004D4FE4" w:rsidRDefault="004D4FE4" w:rsidP="00C5182C">
      <w:pPr>
        <w:spacing w:after="0" w:line="240" w:lineRule="auto"/>
        <w:ind w:left="-709" w:right="-784"/>
        <w:rPr>
          <w:rFonts w:ascii="Arial" w:eastAsia="Times New Roman" w:hAnsi="Arial" w:cs="Arial"/>
        </w:rPr>
      </w:pPr>
      <w:r w:rsidRPr="004D4FE4">
        <w:rPr>
          <w:rFonts w:ascii="Arial" w:eastAsia="Times New Roman" w:hAnsi="Arial" w:cs="Arial"/>
        </w:rPr>
        <w:t xml:space="preserve">Individual EIAs will highlight issues </w:t>
      </w:r>
      <w:r w:rsidR="00301497">
        <w:rPr>
          <w:rFonts w:ascii="Arial" w:eastAsia="Times New Roman" w:hAnsi="Arial" w:cs="Arial"/>
        </w:rPr>
        <w:t xml:space="preserve">and flag up risks </w:t>
      </w:r>
      <w:r w:rsidRPr="004D4FE4">
        <w:rPr>
          <w:rFonts w:ascii="Arial" w:eastAsia="Times New Roman" w:hAnsi="Arial" w:cs="Arial"/>
        </w:rPr>
        <w:t>– this is an overall document for the budget process</w:t>
      </w:r>
      <w:r w:rsidR="007149F4">
        <w:rPr>
          <w:rFonts w:ascii="Arial" w:eastAsia="Times New Roman" w:hAnsi="Arial" w:cs="Arial"/>
        </w:rPr>
        <w:t xml:space="preserve">.  Individual </w:t>
      </w:r>
      <w:r w:rsidR="00115A00">
        <w:rPr>
          <w:rFonts w:ascii="Arial" w:eastAsia="Times New Roman" w:hAnsi="Arial" w:cs="Arial"/>
        </w:rPr>
        <w:t xml:space="preserve">budget </w:t>
      </w:r>
      <w:r w:rsidR="007149F4">
        <w:rPr>
          <w:rFonts w:ascii="Arial" w:eastAsia="Times New Roman" w:hAnsi="Arial" w:cs="Arial"/>
        </w:rPr>
        <w:t>EIAs concerning services and how they affect our customers have been through Equality Impact Assessment Panels made up of our Equality Employee Network members and members of our Equality Hubs</w:t>
      </w:r>
      <w:r w:rsidR="00301497">
        <w:rPr>
          <w:rFonts w:ascii="Arial" w:eastAsia="Times New Roman" w:hAnsi="Arial" w:cs="Arial"/>
        </w:rPr>
        <w:t xml:space="preserve"> along with the Lead on Equality and Diversity and the Policy and External Affairs Officer</w:t>
      </w:r>
      <w:r w:rsidR="007149F4">
        <w:rPr>
          <w:rFonts w:ascii="Arial" w:eastAsia="Times New Roman" w:hAnsi="Arial" w:cs="Arial"/>
        </w:rPr>
        <w:t xml:space="preserve">.  </w:t>
      </w:r>
      <w:r w:rsidR="00301497">
        <w:rPr>
          <w:rFonts w:ascii="Arial" w:eastAsia="Times New Roman" w:hAnsi="Arial" w:cs="Arial"/>
        </w:rPr>
        <w:t>Heads of Service and Directors have presented their EIAs to the Panel.  Panel members have</w:t>
      </w:r>
      <w:r w:rsidR="007149F4">
        <w:rPr>
          <w:rFonts w:ascii="Arial" w:eastAsia="Times New Roman" w:hAnsi="Arial" w:cs="Arial"/>
        </w:rPr>
        <w:t xml:space="preserve"> scrutinised the EIAs and added in extra mitigation actions where they can.  On </w:t>
      </w:r>
      <w:r w:rsidR="006E3148">
        <w:rPr>
          <w:rFonts w:ascii="Arial" w:eastAsia="Times New Roman" w:hAnsi="Arial" w:cs="Arial"/>
        </w:rPr>
        <w:t>four</w:t>
      </w:r>
      <w:r w:rsidR="007149F4">
        <w:rPr>
          <w:rFonts w:ascii="Arial" w:eastAsia="Times New Roman" w:hAnsi="Arial" w:cs="Arial"/>
        </w:rPr>
        <w:t xml:space="preserve"> </w:t>
      </w:r>
      <w:r w:rsidR="00115A00">
        <w:rPr>
          <w:rFonts w:ascii="Arial" w:eastAsia="Times New Roman" w:hAnsi="Arial" w:cs="Arial"/>
        </w:rPr>
        <w:t xml:space="preserve">proposals </w:t>
      </w:r>
      <w:r w:rsidR="007149F4">
        <w:rPr>
          <w:rFonts w:ascii="Arial" w:eastAsia="Times New Roman" w:hAnsi="Arial" w:cs="Arial"/>
        </w:rPr>
        <w:t xml:space="preserve">they have recommended </w:t>
      </w:r>
      <w:r w:rsidR="00D15502">
        <w:rPr>
          <w:rFonts w:ascii="Arial" w:eastAsia="Times New Roman" w:hAnsi="Arial" w:cs="Arial"/>
        </w:rPr>
        <w:t xml:space="preserve">outcome 4 – meaning </w:t>
      </w:r>
      <w:r w:rsidR="007149F4">
        <w:rPr>
          <w:rFonts w:ascii="Arial" w:eastAsia="Times New Roman" w:hAnsi="Arial" w:cs="Arial"/>
        </w:rPr>
        <w:t>that the Service</w:t>
      </w:r>
      <w:r w:rsidR="00301497">
        <w:rPr>
          <w:rFonts w:ascii="Arial" w:eastAsia="Times New Roman" w:hAnsi="Arial" w:cs="Arial"/>
        </w:rPr>
        <w:t>s</w:t>
      </w:r>
      <w:r w:rsidR="007149F4">
        <w:rPr>
          <w:rFonts w:ascii="Arial" w:eastAsia="Times New Roman" w:hAnsi="Arial" w:cs="Arial"/>
        </w:rPr>
        <w:t xml:space="preserve"> look again </w:t>
      </w:r>
      <w:r w:rsidR="00115A00">
        <w:rPr>
          <w:rFonts w:ascii="Arial" w:eastAsia="Times New Roman" w:hAnsi="Arial" w:cs="Arial"/>
        </w:rPr>
        <w:t>as there were no mitigating actions to minimise the negative impact for people with protected characteristics.</w:t>
      </w:r>
      <w:r w:rsidR="00D15502">
        <w:rPr>
          <w:rFonts w:ascii="Arial" w:eastAsia="Times New Roman" w:hAnsi="Arial" w:cs="Arial"/>
        </w:rPr>
        <w:t xml:space="preserve"> The four proposals </w:t>
      </w:r>
      <w:r w:rsidR="00D9541F">
        <w:rPr>
          <w:rFonts w:ascii="Arial" w:eastAsia="Times New Roman" w:hAnsi="Arial" w:cs="Arial"/>
        </w:rPr>
        <w:t>the Panel felt should not go ahead and have bee looked at again by services are:</w:t>
      </w:r>
    </w:p>
    <w:p w14:paraId="40BA7317" w14:textId="4BDE221B" w:rsidR="00D15502" w:rsidRDefault="00D15502" w:rsidP="00C5182C">
      <w:pPr>
        <w:spacing w:after="0" w:line="240" w:lineRule="auto"/>
        <w:ind w:left="-709" w:right="-784"/>
        <w:rPr>
          <w:rFonts w:ascii="Arial" w:eastAsia="Times New Roman" w:hAnsi="Arial" w:cs="Arial"/>
        </w:rPr>
      </w:pPr>
    </w:p>
    <w:p w14:paraId="23CF3D1A" w14:textId="2B5326DF" w:rsidR="00D15502" w:rsidRDefault="00D15502" w:rsidP="00D15502">
      <w:pPr>
        <w:pStyle w:val="ListParagraph"/>
        <w:numPr>
          <w:ilvl w:val="0"/>
          <w:numId w:val="11"/>
        </w:numPr>
        <w:spacing w:after="0" w:line="240" w:lineRule="auto"/>
        <w:ind w:right="-784"/>
        <w:rPr>
          <w:rFonts w:ascii="Arial" w:eastAsia="Times New Roman" w:hAnsi="Arial" w:cs="Arial"/>
        </w:rPr>
      </w:pPr>
      <w:r>
        <w:rPr>
          <w:rFonts w:ascii="Arial" w:eastAsia="Times New Roman" w:hAnsi="Arial" w:cs="Arial"/>
        </w:rPr>
        <w:t>charge blue badge holders to have a marked out bay outside their home, despite it not being for their own exclusive use</w:t>
      </w:r>
      <w:r w:rsidR="00D9541F">
        <w:rPr>
          <w:rFonts w:ascii="Arial" w:eastAsia="Times New Roman" w:hAnsi="Arial" w:cs="Arial"/>
        </w:rPr>
        <w:t>.</w:t>
      </w:r>
      <w:r>
        <w:rPr>
          <w:rFonts w:ascii="Arial" w:eastAsia="Times New Roman" w:hAnsi="Arial" w:cs="Arial"/>
        </w:rPr>
        <w:t xml:space="preserve"> </w:t>
      </w:r>
      <w:r w:rsidR="00D9541F">
        <w:rPr>
          <w:rFonts w:ascii="Arial" w:eastAsia="Times New Roman" w:hAnsi="Arial" w:cs="Arial"/>
          <w:b/>
          <w:bCs/>
        </w:rPr>
        <w:t>No</w:t>
      </w:r>
      <w:r w:rsidRPr="00D15502">
        <w:rPr>
          <w:rFonts w:ascii="Arial" w:eastAsia="Times New Roman" w:hAnsi="Arial" w:cs="Arial"/>
          <w:b/>
          <w:bCs/>
        </w:rPr>
        <w:t xml:space="preserve"> longer going ahead</w:t>
      </w:r>
      <w:r>
        <w:rPr>
          <w:rFonts w:ascii="Arial" w:eastAsia="Times New Roman" w:hAnsi="Arial" w:cs="Arial"/>
        </w:rPr>
        <w:t xml:space="preserve"> </w:t>
      </w:r>
    </w:p>
    <w:p w14:paraId="00EB4A10" w14:textId="2CC15A95" w:rsidR="00D15502" w:rsidRDefault="00D15502" w:rsidP="00D15502">
      <w:pPr>
        <w:pStyle w:val="ListParagraph"/>
        <w:numPr>
          <w:ilvl w:val="0"/>
          <w:numId w:val="11"/>
        </w:numPr>
        <w:spacing w:after="0" w:line="240" w:lineRule="auto"/>
        <w:ind w:right="-784"/>
        <w:rPr>
          <w:rFonts w:ascii="Arial" w:eastAsia="Times New Roman" w:hAnsi="Arial" w:cs="Arial"/>
        </w:rPr>
      </w:pPr>
      <w:r>
        <w:rPr>
          <w:rFonts w:ascii="Arial" w:eastAsia="Times New Roman" w:hAnsi="Arial" w:cs="Arial"/>
        </w:rPr>
        <w:t>closing the Exiting Care Team – much needed service and other Councils are setting them up</w:t>
      </w:r>
      <w:r w:rsidR="00D9541F">
        <w:rPr>
          <w:rFonts w:ascii="Arial" w:eastAsia="Times New Roman" w:hAnsi="Arial" w:cs="Arial"/>
        </w:rPr>
        <w:t>.</w:t>
      </w:r>
      <w:r>
        <w:rPr>
          <w:rFonts w:ascii="Arial" w:eastAsia="Times New Roman" w:hAnsi="Arial" w:cs="Arial"/>
        </w:rPr>
        <w:t xml:space="preserve"> </w:t>
      </w:r>
      <w:r w:rsidR="00D9541F" w:rsidRPr="00D9541F">
        <w:rPr>
          <w:rFonts w:ascii="Arial" w:eastAsia="Times New Roman" w:hAnsi="Arial" w:cs="Arial"/>
          <w:b/>
          <w:bCs/>
        </w:rPr>
        <w:t>No</w:t>
      </w:r>
      <w:r w:rsidRPr="00D15502">
        <w:rPr>
          <w:rFonts w:ascii="Arial" w:eastAsia="Times New Roman" w:hAnsi="Arial" w:cs="Arial"/>
          <w:b/>
          <w:bCs/>
        </w:rPr>
        <w:t xml:space="preserve"> longer going ahead</w:t>
      </w:r>
    </w:p>
    <w:p w14:paraId="29805252" w14:textId="3460D82A" w:rsidR="00D15502" w:rsidRDefault="00D15502" w:rsidP="00D15502">
      <w:pPr>
        <w:pStyle w:val="ListParagraph"/>
        <w:numPr>
          <w:ilvl w:val="0"/>
          <w:numId w:val="11"/>
        </w:numPr>
        <w:spacing w:after="0" w:line="240" w:lineRule="auto"/>
        <w:ind w:right="-784"/>
        <w:rPr>
          <w:rFonts w:ascii="Arial" w:eastAsia="Times New Roman" w:hAnsi="Arial" w:cs="Arial"/>
        </w:rPr>
      </w:pPr>
      <w:r>
        <w:rPr>
          <w:rFonts w:ascii="Arial" w:eastAsia="Times New Roman" w:hAnsi="Arial" w:cs="Arial"/>
        </w:rPr>
        <w:t>Reduce street cleansing – older and disabled people negatively affected by this</w:t>
      </w:r>
      <w:r w:rsidR="00D9541F">
        <w:rPr>
          <w:rFonts w:ascii="Arial" w:eastAsia="Times New Roman" w:hAnsi="Arial" w:cs="Arial"/>
        </w:rPr>
        <w:t>.</w:t>
      </w:r>
      <w:r>
        <w:rPr>
          <w:rFonts w:ascii="Arial" w:eastAsia="Times New Roman" w:hAnsi="Arial" w:cs="Arial"/>
        </w:rPr>
        <w:t xml:space="preserve"> </w:t>
      </w:r>
      <w:r w:rsidR="00D9541F" w:rsidRPr="00D9541F">
        <w:rPr>
          <w:rFonts w:ascii="Arial" w:eastAsia="Times New Roman" w:hAnsi="Arial" w:cs="Arial"/>
          <w:b/>
          <w:bCs/>
        </w:rPr>
        <w:t>No</w:t>
      </w:r>
      <w:r w:rsidRPr="00D15502">
        <w:rPr>
          <w:rFonts w:ascii="Arial" w:eastAsia="Times New Roman" w:hAnsi="Arial" w:cs="Arial"/>
          <w:b/>
          <w:bCs/>
        </w:rPr>
        <w:t xml:space="preserve"> longer going to reduce cleaning pavements</w:t>
      </w:r>
    </w:p>
    <w:p w14:paraId="4057EBAC" w14:textId="673BB02C" w:rsidR="00D15502" w:rsidRPr="0007541E" w:rsidRDefault="00D15502" w:rsidP="00D15502">
      <w:pPr>
        <w:pStyle w:val="ListParagraph"/>
        <w:numPr>
          <w:ilvl w:val="0"/>
          <w:numId w:val="11"/>
        </w:numPr>
        <w:spacing w:after="0" w:line="240" w:lineRule="auto"/>
        <w:ind w:right="-784"/>
        <w:rPr>
          <w:rFonts w:ascii="Arial" w:eastAsia="Times New Roman" w:hAnsi="Arial" w:cs="Arial"/>
          <w:b/>
          <w:bCs/>
        </w:rPr>
      </w:pPr>
      <w:r>
        <w:rPr>
          <w:rFonts w:ascii="Arial" w:eastAsia="Times New Roman" w:hAnsi="Arial" w:cs="Arial"/>
        </w:rPr>
        <w:t>Reduce street lighting on major routes to below the British Standard</w:t>
      </w:r>
      <w:r w:rsidR="00D9541F">
        <w:rPr>
          <w:rFonts w:ascii="Arial" w:eastAsia="Times New Roman" w:hAnsi="Arial" w:cs="Arial"/>
        </w:rPr>
        <w:t>.</w:t>
      </w:r>
      <w:r>
        <w:rPr>
          <w:rFonts w:ascii="Arial" w:eastAsia="Times New Roman" w:hAnsi="Arial" w:cs="Arial"/>
        </w:rPr>
        <w:t xml:space="preserve"> </w:t>
      </w:r>
      <w:r w:rsidR="00D9541F">
        <w:rPr>
          <w:rFonts w:ascii="Arial" w:eastAsia="Times New Roman" w:hAnsi="Arial" w:cs="Arial"/>
        </w:rPr>
        <w:t>Lots</w:t>
      </w:r>
      <w:r>
        <w:rPr>
          <w:rFonts w:ascii="Arial" w:eastAsia="Times New Roman" w:hAnsi="Arial" w:cs="Arial"/>
        </w:rPr>
        <w:t xml:space="preserve"> of people with protected characteristics negatively impacted by this</w:t>
      </w:r>
      <w:r w:rsidR="00D9541F">
        <w:rPr>
          <w:rFonts w:ascii="Arial" w:eastAsia="Times New Roman" w:hAnsi="Arial" w:cs="Arial"/>
        </w:rPr>
        <w:t>.</w:t>
      </w:r>
      <w:r>
        <w:rPr>
          <w:rFonts w:ascii="Arial" w:eastAsia="Times New Roman" w:hAnsi="Arial" w:cs="Arial"/>
        </w:rPr>
        <w:t xml:space="preserve"> </w:t>
      </w:r>
      <w:r w:rsidR="0007541E" w:rsidRPr="0007541E">
        <w:rPr>
          <w:rFonts w:ascii="Arial" w:eastAsia="Times New Roman" w:hAnsi="Arial" w:cs="Arial"/>
          <w:b/>
          <w:bCs/>
        </w:rPr>
        <w:t>Decision not yet known</w:t>
      </w:r>
    </w:p>
    <w:p w14:paraId="018593B8" w14:textId="77777777" w:rsidR="006E3148" w:rsidRDefault="006E3148" w:rsidP="00C5182C">
      <w:pPr>
        <w:spacing w:after="0" w:line="240" w:lineRule="auto"/>
        <w:ind w:left="-709" w:right="-784"/>
        <w:rPr>
          <w:rFonts w:ascii="Arial" w:eastAsia="Times New Roman" w:hAnsi="Arial" w:cs="Arial"/>
        </w:rPr>
      </w:pPr>
    </w:p>
    <w:p w14:paraId="521C1C76" w14:textId="581A6818" w:rsidR="00C5182C" w:rsidRPr="00C5182C" w:rsidRDefault="0007541E" w:rsidP="00C5182C">
      <w:pPr>
        <w:spacing w:after="0" w:line="240" w:lineRule="auto"/>
        <w:ind w:left="-709" w:right="-784"/>
        <w:rPr>
          <w:rFonts w:ascii="Arial" w:eastAsia="Times New Roman" w:hAnsi="Arial" w:cs="Arial"/>
          <w:sz w:val="24"/>
          <w:szCs w:val="24"/>
        </w:rPr>
      </w:pPr>
      <w:hyperlink r:id="rId11" w:anchor="page-1" w:history="1">
        <w:r w:rsidR="00035598" w:rsidRPr="00035598">
          <w:rPr>
            <w:color w:val="0000FF"/>
            <w:u w:val="single"/>
          </w:rPr>
          <w:t>Equality impact assessments - 2023 to 2013 - Derby City Council</w:t>
        </w:r>
      </w:hyperlink>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6F8B6B58" w:rsidR="00C5182C" w:rsidRPr="00C5182C" w:rsidRDefault="004D4FE4" w:rsidP="00C5182C">
      <w:pPr>
        <w:spacing w:after="0" w:line="240" w:lineRule="auto"/>
        <w:ind w:left="-709" w:right="-784"/>
        <w:rPr>
          <w:rFonts w:ascii="Arial" w:eastAsia="Times New Roman" w:hAnsi="Arial" w:cs="Arial"/>
        </w:rPr>
      </w:pPr>
      <w:r>
        <w:rPr>
          <w:rFonts w:ascii="Arial" w:hAnsi="Arial" w:cs="Arial"/>
          <w:sz w:val="24"/>
          <w:szCs w:val="24"/>
        </w:rPr>
        <w:t>The individual EIAs will have equality actions where mitigation is needed</w:t>
      </w: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w:t>
      </w:r>
      <w:r w:rsidRPr="00B10265">
        <w:rPr>
          <w:rFonts w:ascii="Arial" w:eastAsia="Times New Roman" w:hAnsi="Arial" w:cs="Arial"/>
          <w:sz w:val="24"/>
          <w:szCs w:val="24"/>
        </w:rPr>
        <w:lastRenderedPageBreak/>
        <w:t xml:space="preserve">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07541E" w:rsidP="00B10265">
      <w:pPr>
        <w:spacing w:after="0" w:line="240" w:lineRule="auto"/>
        <w:rPr>
          <w:rFonts w:ascii="Arial" w:eastAsia="Times New Roman" w:hAnsi="Arial" w:cs="Arial"/>
          <w:sz w:val="24"/>
          <w:szCs w:val="24"/>
        </w:rPr>
      </w:pPr>
      <w:hyperlink r:id="rId12"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Tel 01332 643722 mobile 07812301144</w:t>
      </w:r>
    </w:p>
    <w:p w14:paraId="34C2C327" w14:textId="277B912D" w:rsidR="0015114A" w:rsidRDefault="0007541E" w:rsidP="00B10265">
      <w:pPr>
        <w:spacing w:after="0" w:line="240" w:lineRule="auto"/>
        <w:rPr>
          <w:rFonts w:ascii="Arial" w:eastAsia="Times New Roman" w:hAnsi="Arial" w:cs="Arial"/>
        </w:rPr>
      </w:pPr>
      <w:hyperlink r:id="rId13"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4"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5"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6"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5A"/>
    <w:multiLevelType w:val="hybridMultilevel"/>
    <w:tmpl w:val="AA82D48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66631">
    <w:abstractNumId w:val="9"/>
  </w:num>
  <w:num w:numId="2" w16cid:durableId="99878705">
    <w:abstractNumId w:val="7"/>
  </w:num>
  <w:num w:numId="3" w16cid:durableId="59595827">
    <w:abstractNumId w:val="5"/>
  </w:num>
  <w:num w:numId="4" w16cid:durableId="635918348">
    <w:abstractNumId w:val="8"/>
  </w:num>
  <w:num w:numId="5" w16cid:durableId="1063407331">
    <w:abstractNumId w:val="8"/>
  </w:num>
  <w:num w:numId="6" w16cid:durableId="286084956">
    <w:abstractNumId w:val="3"/>
  </w:num>
  <w:num w:numId="7" w16cid:durableId="1770348866">
    <w:abstractNumId w:val="1"/>
  </w:num>
  <w:num w:numId="8" w16cid:durableId="1272782162">
    <w:abstractNumId w:val="2"/>
  </w:num>
  <w:num w:numId="9" w16cid:durableId="385030298">
    <w:abstractNumId w:val="4"/>
  </w:num>
  <w:num w:numId="10" w16cid:durableId="279186000">
    <w:abstractNumId w:val="6"/>
  </w:num>
  <w:num w:numId="11" w16cid:durableId="32925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3333F"/>
    <w:rsid w:val="00035598"/>
    <w:rsid w:val="0007541E"/>
    <w:rsid w:val="000B3C21"/>
    <w:rsid w:val="000F0494"/>
    <w:rsid w:val="00115A00"/>
    <w:rsid w:val="00134164"/>
    <w:rsid w:val="0015114A"/>
    <w:rsid w:val="0017260A"/>
    <w:rsid w:val="001A3462"/>
    <w:rsid w:val="00264BB3"/>
    <w:rsid w:val="0027763F"/>
    <w:rsid w:val="002C273C"/>
    <w:rsid w:val="002C7928"/>
    <w:rsid w:val="00301497"/>
    <w:rsid w:val="00391140"/>
    <w:rsid w:val="003D19AA"/>
    <w:rsid w:val="00402714"/>
    <w:rsid w:val="004D4FE4"/>
    <w:rsid w:val="005130D0"/>
    <w:rsid w:val="00547714"/>
    <w:rsid w:val="006041E6"/>
    <w:rsid w:val="00667C76"/>
    <w:rsid w:val="006E3148"/>
    <w:rsid w:val="00712255"/>
    <w:rsid w:val="007149F4"/>
    <w:rsid w:val="007B4E9A"/>
    <w:rsid w:val="008542F5"/>
    <w:rsid w:val="009033FB"/>
    <w:rsid w:val="009353C4"/>
    <w:rsid w:val="009D5DC9"/>
    <w:rsid w:val="009E0460"/>
    <w:rsid w:val="00A07064"/>
    <w:rsid w:val="00A11E12"/>
    <w:rsid w:val="00A76BBF"/>
    <w:rsid w:val="00AA4566"/>
    <w:rsid w:val="00AB2F46"/>
    <w:rsid w:val="00B10265"/>
    <w:rsid w:val="00B314CE"/>
    <w:rsid w:val="00C237ED"/>
    <w:rsid w:val="00C37AF4"/>
    <w:rsid w:val="00C5182C"/>
    <w:rsid w:val="00CB2A58"/>
    <w:rsid w:val="00CF1E50"/>
    <w:rsid w:val="00D15502"/>
    <w:rsid w:val="00D1635A"/>
    <w:rsid w:val="00D613B5"/>
    <w:rsid w:val="00D65A40"/>
    <w:rsid w:val="00D9541F"/>
    <w:rsid w:val="00DE2850"/>
    <w:rsid w:val="00EC1247"/>
    <w:rsid w:val="00EF5C7B"/>
    <w:rsid w:val="00F532FA"/>
    <w:rsid w:val="00F717F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03333F"/>
    <w:rPr>
      <w:sz w:val="16"/>
      <w:szCs w:val="16"/>
    </w:rPr>
  </w:style>
  <w:style w:type="paragraph" w:styleId="CommentText">
    <w:name w:val="annotation text"/>
    <w:basedOn w:val="Normal"/>
    <w:link w:val="CommentTextChar"/>
    <w:uiPriority w:val="99"/>
    <w:semiHidden/>
    <w:unhideWhenUsed/>
    <w:rsid w:val="0003333F"/>
    <w:pPr>
      <w:spacing w:line="240" w:lineRule="auto"/>
    </w:pPr>
    <w:rPr>
      <w:sz w:val="20"/>
      <w:szCs w:val="20"/>
    </w:rPr>
  </w:style>
  <w:style w:type="character" w:customStyle="1" w:styleId="CommentTextChar">
    <w:name w:val="Comment Text Char"/>
    <w:basedOn w:val="DefaultParagraphFont"/>
    <w:link w:val="CommentText"/>
    <w:uiPriority w:val="99"/>
    <w:semiHidden/>
    <w:rsid w:val="0003333F"/>
    <w:rPr>
      <w:sz w:val="20"/>
      <w:szCs w:val="20"/>
    </w:rPr>
  </w:style>
  <w:style w:type="paragraph" w:styleId="CommentSubject">
    <w:name w:val="annotation subject"/>
    <w:basedOn w:val="CommentText"/>
    <w:next w:val="CommentText"/>
    <w:link w:val="CommentSubjectChar"/>
    <w:uiPriority w:val="99"/>
    <w:semiHidden/>
    <w:unhideWhenUsed/>
    <w:rsid w:val="0003333F"/>
    <w:rPr>
      <w:b/>
      <w:bCs/>
    </w:rPr>
  </w:style>
  <w:style w:type="character" w:customStyle="1" w:styleId="CommentSubjectChar">
    <w:name w:val="Comment Subject Char"/>
    <w:basedOn w:val="CommentTextChar"/>
    <w:link w:val="CommentSubject"/>
    <w:uiPriority w:val="99"/>
    <w:semiHidden/>
    <w:rsid w:val="0003333F"/>
    <w:rPr>
      <w:b/>
      <w:bCs/>
      <w:sz w:val="20"/>
      <w:szCs w:val="20"/>
    </w:rPr>
  </w:style>
  <w:style w:type="paragraph" w:styleId="Revision">
    <w:name w:val="Revision"/>
    <w:hidden/>
    <w:uiPriority w:val="99"/>
    <w:semiHidden/>
    <w:rsid w:val="00714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6949">
      <w:bodyDiv w:val="1"/>
      <w:marLeft w:val="0"/>
      <w:marRight w:val="0"/>
      <w:marTop w:val="0"/>
      <w:marBottom w:val="0"/>
      <w:divBdr>
        <w:top w:val="none" w:sz="0" w:space="0" w:color="auto"/>
        <w:left w:val="none" w:sz="0" w:space="0" w:color="auto"/>
        <w:bottom w:val="none" w:sz="0" w:space="0" w:color="auto"/>
        <w:right w:val="none" w:sz="0" w:space="0" w:color="auto"/>
      </w:divBdr>
    </w:div>
    <w:div w:id="314144193">
      <w:bodyDiv w:val="1"/>
      <w:marLeft w:val="0"/>
      <w:marRight w:val="0"/>
      <w:marTop w:val="0"/>
      <w:marBottom w:val="0"/>
      <w:divBdr>
        <w:top w:val="none" w:sz="0" w:space="0" w:color="auto"/>
        <w:left w:val="none" w:sz="0" w:space="0" w:color="auto"/>
        <w:bottom w:val="none" w:sz="0" w:space="0" w:color="auto"/>
        <w:right w:val="none" w:sz="0" w:space="0" w:color="auto"/>
      </w:divBdr>
    </w:div>
    <w:div w:id="701786055">
      <w:bodyDiv w:val="1"/>
      <w:marLeft w:val="0"/>
      <w:marRight w:val="0"/>
      <w:marTop w:val="0"/>
      <w:marBottom w:val="0"/>
      <w:divBdr>
        <w:top w:val="none" w:sz="0" w:space="0" w:color="auto"/>
        <w:left w:val="none" w:sz="0" w:space="0" w:color="auto"/>
        <w:bottom w:val="none" w:sz="0" w:space="0" w:color="auto"/>
        <w:right w:val="none" w:sz="0" w:space="0" w:color="auto"/>
      </w:divBdr>
    </w:div>
    <w:div w:id="845095841">
      <w:bodyDiv w:val="1"/>
      <w:marLeft w:val="0"/>
      <w:marRight w:val="0"/>
      <w:marTop w:val="0"/>
      <w:marBottom w:val="0"/>
      <w:divBdr>
        <w:top w:val="none" w:sz="0" w:space="0" w:color="auto"/>
        <w:left w:val="none" w:sz="0" w:space="0" w:color="auto"/>
        <w:bottom w:val="none" w:sz="0" w:space="0" w:color="auto"/>
        <w:right w:val="none" w:sz="0" w:space="0" w:color="auto"/>
      </w:divBdr>
    </w:div>
    <w:div w:id="892233926">
      <w:bodyDiv w:val="1"/>
      <w:marLeft w:val="0"/>
      <w:marRight w:val="0"/>
      <w:marTop w:val="0"/>
      <w:marBottom w:val="0"/>
      <w:divBdr>
        <w:top w:val="none" w:sz="0" w:space="0" w:color="auto"/>
        <w:left w:val="none" w:sz="0" w:space="0" w:color="auto"/>
        <w:bottom w:val="none" w:sz="0" w:space="0" w:color="auto"/>
        <w:right w:val="none" w:sz="0" w:space="0" w:color="auto"/>
      </w:divBdr>
    </w:div>
    <w:div w:id="1099251043">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286161161">
      <w:bodyDiv w:val="1"/>
      <w:marLeft w:val="0"/>
      <w:marRight w:val="0"/>
      <w:marTop w:val="0"/>
      <w:marBottom w:val="0"/>
      <w:divBdr>
        <w:top w:val="none" w:sz="0" w:space="0" w:color="auto"/>
        <w:left w:val="none" w:sz="0" w:space="0" w:color="auto"/>
        <w:bottom w:val="none" w:sz="0" w:space="0" w:color="auto"/>
        <w:right w:val="none" w:sz="0" w:space="0" w:color="auto"/>
      </w:divBdr>
    </w:div>
    <w:div w:id="1459375353">
      <w:bodyDiv w:val="1"/>
      <w:marLeft w:val="0"/>
      <w:marRight w:val="0"/>
      <w:marTop w:val="0"/>
      <w:marBottom w:val="0"/>
      <w:divBdr>
        <w:top w:val="none" w:sz="0" w:space="0" w:color="auto"/>
        <w:left w:val="none" w:sz="0" w:space="0" w:color="auto"/>
        <w:bottom w:val="none" w:sz="0" w:space="0" w:color="auto"/>
        <w:right w:val="none" w:sz="0" w:space="0" w:color="auto"/>
      </w:divBdr>
    </w:div>
    <w:div w:id="1492140403">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6742">
      <w:bodyDiv w:val="1"/>
      <w:marLeft w:val="0"/>
      <w:marRight w:val="0"/>
      <w:marTop w:val="0"/>
      <w:marBottom w:val="0"/>
      <w:divBdr>
        <w:top w:val="none" w:sz="0" w:space="0" w:color="auto"/>
        <w:left w:val="none" w:sz="0" w:space="0" w:color="auto"/>
        <w:bottom w:val="none" w:sz="0" w:space="0" w:color="auto"/>
        <w:right w:val="none" w:sz="0" w:space="0" w:color="auto"/>
      </w:divBdr>
    </w:div>
    <w:div w:id="1650940228">
      <w:bodyDiv w:val="1"/>
      <w:marLeft w:val="0"/>
      <w:marRight w:val="0"/>
      <w:marTop w:val="0"/>
      <w:marBottom w:val="0"/>
      <w:divBdr>
        <w:top w:val="none" w:sz="0" w:space="0" w:color="auto"/>
        <w:left w:val="none" w:sz="0" w:space="0" w:color="auto"/>
        <w:bottom w:val="none" w:sz="0" w:space="0" w:color="auto"/>
        <w:right w:val="none" w:sz="0" w:space="0" w:color="auto"/>
      </w:divBdr>
    </w:div>
    <w:div w:id="1722830018">
      <w:bodyDiv w:val="1"/>
      <w:marLeft w:val="0"/>
      <w:marRight w:val="0"/>
      <w:marTop w:val="0"/>
      <w:marBottom w:val="0"/>
      <w:divBdr>
        <w:top w:val="none" w:sz="0" w:space="0" w:color="auto"/>
        <w:left w:val="none" w:sz="0" w:space="0" w:color="auto"/>
        <w:bottom w:val="none" w:sz="0" w:space="0" w:color="auto"/>
        <w:right w:val="none" w:sz="0" w:space="0" w:color="auto"/>
      </w:divBdr>
    </w:div>
    <w:div w:id="21105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gov.uk/signing-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ebster@derby.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rby.gov.uk/sign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community-and-living/equality-diversity/equality-impact-assessments/equality-impact-assessments-2023-2013/" TargetMode="External"/><Relationship Id="rId5" Type="http://schemas.openxmlformats.org/officeDocument/2006/relationships/numbering" Target="numbering.xml"/><Relationship Id="rId15" Type="http://schemas.openxmlformats.org/officeDocument/2006/relationships/hyperlink" Target="http://www.derby.gov.uk/signing-service/" TargetMode="External"/><Relationship Id="rId10" Type="http://schemas.openxmlformats.org/officeDocument/2006/relationships/hyperlink" Target="https://letstalk.derby.gov.uk/budget-consultation?tool=survey_too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2023-02-27T13:49:00Z</dcterms:created>
  <dcterms:modified xsi:type="dcterms:W3CDTF">2023-02-27T13:49:00Z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