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F3FD" w14:textId="6DDC6D45" w:rsidR="004B74C5" w:rsidRPr="008E74EE" w:rsidRDefault="0072219D" w:rsidP="0009166D">
      <w:pPr>
        <w:spacing w:line="276" w:lineRule="auto"/>
        <w:jc w:val="center"/>
        <w:rPr>
          <w:b/>
          <w:bCs/>
        </w:rPr>
      </w:pPr>
      <w:r w:rsidRPr="008E74EE">
        <w:rPr>
          <w:b/>
          <w:bCs/>
        </w:rPr>
        <w:t>TOWN AND COUNTRY PLANNING ACT 1990 – SECTION 2</w:t>
      </w:r>
      <w:r w:rsidR="001F4A53">
        <w:rPr>
          <w:b/>
          <w:bCs/>
        </w:rPr>
        <w:t>4</w:t>
      </w:r>
      <w:r w:rsidRPr="008E74EE">
        <w:rPr>
          <w:b/>
          <w:bCs/>
        </w:rPr>
        <w:t xml:space="preserve">7 </w:t>
      </w:r>
    </w:p>
    <w:p w14:paraId="41E6870E" w14:textId="77777777" w:rsidR="0072219D" w:rsidRPr="008E74EE" w:rsidRDefault="0072219D" w:rsidP="0009166D">
      <w:pPr>
        <w:spacing w:line="276" w:lineRule="auto"/>
        <w:jc w:val="center"/>
        <w:rPr>
          <w:b/>
          <w:bCs/>
        </w:rPr>
      </w:pPr>
    </w:p>
    <w:p w14:paraId="3023625E" w14:textId="481D30D6" w:rsidR="00156CDF" w:rsidRDefault="00175D2E" w:rsidP="0009166D">
      <w:pPr>
        <w:spacing w:line="276" w:lineRule="auto"/>
        <w:jc w:val="center"/>
        <w:rPr>
          <w:b/>
          <w:bCs/>
        </w:rPr>
      </w:pPr>
      <w:r>
        <w:rPr>
          <w:b/>
          <w:bCs/>
        </w:rPr>
        <w:t>STOPPING UP OF HIGHWAY AT MACKLIN STREET AND COLYEAR STREET</w:t>
      </w:r>
    </w:p>
    <w:p w14:paraId="2046D997" w14:textId="77777777" w:rsidR="00175D2E" w:rsidRPr="008E74EE" w:rsidRDefault="00175D2E" w:rsidP="0009166D">
      <w:pPr>
        <w:spacing w:line="276" w:lineRule="auto"/>
        <w:jc w:val="center"/>
        <w:rPr>
          <w:b/>
          <w:bCs/>
        </w:rPr>
      </w:pPr>
    </w:p>
    <w:p w14:paraId="7A1C3D29" w14:textId="5B09ABDB" w:rsidR="00156CDF" w:rsidRPr="00175D2E" w:rsidRDefault="00156CDF" w:rsidP="0009166D">
      <w:pPr>
        <w:spacing w:line="276" w:lineRule="auto"/>
        <w:jc w:val="center"/>
        <w:rPr>
          <w:b/>
          <w:bCs/>
        </w:rPr>
      </w:pPr>
      <w:r w:rsidRPr="00175D2E">
        <w:rPr>
          <w:b/>
          <w:bCs/>
        </w:rPr>
        <w:t xml:space="preserve">STATEMENT ON BEHALF OF </w:t>
      </w:r>
      <w:r w:rsidR="00C4674F" w:rsidRPr="00175D2E">
        <w:rPr>
          <w:b/>
          <w:bCs/>
        </w:rPr>
        <w:t>SJS (4)</w:t>
      </w:r>
      <w:r w:rsidRPr="00175D2E">
        <w:rPr>
          <w:b/>
          <w:bCs/>
        </w:rPr>
        <w:t xml:space="preserve"> LIMITED </w:t>
      </w:r>
    </w:p>
    <w:p w14:paraId="0AFEA959" w14:textId="77777777" w:rsidR="008E74EE" w:rsidRPr="008E74EE" w:rsidRDefault="008E74EE" w:rsidP="0009166D">
      <w:pPr>
        <w:spacing w:line="276" w:lineRule="auto"/>
        <w:jc w:val="center"/>
        <w:rPr>
          <w:b/>
          <w:bCs/>
          <w:u w:val="single"/>
        </w:rPr>
      </w:pPr>
    </w:p>
    <w:p w14:paraId="77C5D96E" w14:textId="77777777" w:rsidR="00156CDF" w:rsidRDefault="00156CDF" w:rsidP="0009166D">
      <w:pPr>
        <w:spacing w:line="276" w:lineRule="auto"/>
        <w:jc w:val="center"/>
      </w:pPr>
    </w:p>
    <w:p w14:paraId="5772CD5E" w14:textId="4E059CE2" w:rsidR="00156CDF" w:rsidRPr="00DD53AD" w:rsidRDefault="00156CDF" w:rsidP="00760EC5">
      <w:pPr>
        <w:pStyle w:val="Heading1"/>
      </w:pPr>
      <w:r w:rsidRPr="00DD53AD">
        <w:t xml:space="preserve">INTRODUCTION </w:t>
      </w:r>
    </w:p>
    <w:p w14:paraId="30F57942" w14:textId="1781337E" w:rsidR="004D3415" w:rsidRDefault="00AE728C" w:rsidP="00760EC5">
      <w:pPr>
        <w:pStyle w:val="Heading2"/>
      </w:pPr>
      <w:r>
        <w:t>SJS (4) Limited (</w:t>
      </w:r>
      <w:r>
        <w:rPr>
          <w:b/>
          <w:bCs/>
        </w:rPr>
        <w:t>SJS</w:t>
      </w:r>
      <w:r>
        <w:t xml:space="preserve">) has submitted </w:t>
      </w:r>
      <w:r w:rsidR="00894C41">
        <w:t xml:space="preserve">an </w:t>
      </w:r>
      <w:r>
        <w:t>application to</w:t>
      </w:r>
      <w:r w:rsidR="00760EC5">
        <w:t xml:space="preserve"> the Secretary of State for Transport (</w:t>
      </w:r>
      <w:r w:rsidR="00760EC5" w:rsidRPr="00760EC5">
        <w:rPr>
          <w:b/>
        </w:rPr>
        <w:t>SoS</w:t>
      </w:r>
      <w:r w:rsidR="00760EC5">
        <w:rPr>
          <w:bCs/>
        </w:rPr>
        <w:t xml:space="preserve">) </w:t>
      </w:r>
      <w:r w:rsidR="00BA44F8">
        <w:rPr>
          <w:bCs/>
        </w:rPr>
        <w:t>to stop up</w:t>
      </w:r>
      <w:r>
        <w:t xml:space="preserve"> </w:t>
      </w:r>
      <w:r w:rsidR="008C34A6">
        <w:t xml:space="preserve">a </w:t>
      </w:r>
      <w:r>
        <w:t>section of the highway lo</w:t>
      </w:r>
      <w:r w:rsidR="003E5C51">
        <w:t xml:space="preserve">cated </w:t>
      </w:r>
      <w:r w:rsidR="00760EC5">
        <w:t xml:space="preserve">to the </w:t>
      </w:r>
      <w:r w:rsidR="003E5C51">
        <w:t xml:space="preserve">west of </w:t>
      </w:r>
      <w:r w:rsidR="00760EC5">
        <w:t>Colyear</w:t>
      </w:r>
      <w:r w:rsidR="003E5C51">
        <w:t xml:space="preserve"> Street</w:t>
      </w:r>
      <w:r>
        <w:t xml:space="preserve">, shown hatched black on the plan at Appendix </w:t>
      </w:r>
      <w:r w:rsidR="00BE022A">
        <w:t>E</w:t>
      </w:r>
      <w:r w:rsidR="003E5C51">
        <w:t xml:space="preserve">. </w:t>
      </w:r>
      <w:r w:rsidR="004D3415">
        <w:t xml:space="preserve"> </w:t>
      </w:r>
    </w:p>
    <w:p w14:paraId="0D39F4C5" w14:textId="337B93C4" w:rsidR="00894C41" w:rsidRDefault="00894C41" w:rsidP="00760EC5">
      <w:pPr>
        <w:pStyle w:val="Heading2"/>
      </w:pPr>
      <w:r>
        <w:t>This statement explains why the closure is necessitated by the development</w:t>
      </w:r>
      <w:r w:rsidR="001D4092">
        <w:t xml:space="preserve"> of the Becketwell area </w:t>
      </w:r>
      <w:r w:rsidR="00D1745E">
        <w:t xml:space="preserve">of </w:t>
      </w:r>
      <w:r w:rsidR="001D4092">
        <w:t>Derby</w:t>
      </w:r>
      <w:r w:rsidR="005A600C">
        <w:t xml:space="preserve"> City Centre</w:t>
      </w:r>
      <w:r w:rsidR="001D4092">
        <w:t>.</w:t>
      </w:r>
    </w:p>
    <w:p w14:paraId="0B9F865E" w14:textId="33123BE3" w:rsidR="00DD53AD" w:rsidRDefault="00DD53AD" w:rsidP="00760EC5">
      <w:pPr>
        <w:pStyle w:val="Heading1"/>
      </w:pPr>
      <w:r w:rsidRPr="00DD53AD">
        <w:t>BACKGROUND</w:t>
      </w:r>
    </w:p>
    <w:p w14:paraId="08A5CA8A" w14:textId="4D6BC5DD" w:rsidR="004B0C8A" w:rsidRDefault="002D188F" w:rsidP="00760EC5">
      <w:pPr>
        <w:pStyle w:val="Heading2"/>
      </w:pPr>
      <w:r>
        <w:t>SJS</w:t>
      </w:r>
      <w:r w:rsidR="004B0C8A">
        <w:t xml:space="preserve"> is working in partnership with Derby City Council to deliver the comprehensive regeneration of the Becketwell area in Derby. The project is the most significant scheme in the city since the Westgate Shopping Centre was delivered.  </w:t>
      </w:r>
    </w:p>
    <w:p w14:paraId="35ADC256" w14:textId="6E3BD6A1" w:rsidR="002E4D35" w:rsidRDefault="00600197" w:rsidP="00760EC5">
      <w:pPr>
        <w:pStyle w:val="Heading2"/>
      </w:pPr>
      <w:r>
        <w:t xml:space="preserve">SJS (Derby) Limited </w:t>
      </w:r>
      <w:r w:rsidR="008E7FF4">
        <w:t>obtained</w:t>
      </w:r>
      <w:r>
        <w:t xml:space="preserve"> a</w:t>
      </w:r>
      <w:r w:rsidR="008E7FF4">
        <w:t xml:space="preserve"> </w:t>
      </w:r>
      <w:r w:rsidR="001D4092">
        <w:t xml:space="preserve">hybrid </w:t>
      </w:r>
      <w:r w:rsidR="008E7FF4">
        <w:t xml:space="preserve">planning permission on </w:t>
      </w:r>
      <w:r w:rsidR="006A296E">
        <w:t>4 September 2020</w:t>
      </w:r>
      <w:r w:rsidR="009829CF">
        <w:t xml:space="preserve">, pursuant to application reference </w:t>
      </w:r>
      <w:r w:rsidR="009829CF" w:rsidRPr="009829CF">
        <w:t>19/01245/OUT</w:t>
      </w:r>
      <w:r w:rsidR="009829CF">
        <w:t xml:space="preserve">, for: </w:t>
      </w:r>
    </w:p>
    <w:p w14:paraId="72A8F979" w14:textId="0E847C5F" w:rsidR="00966257" w:rsidRPr="004D1D5E" w:rsidRDefault="00966257" w:rsidP="004D1D5E">
      <w:pPr>
        <w:spacing w:line="276" w:lineRule="auto"/>
        <w:ind w:left="1418"/>
        <w:jc w:val="left"/>
      </w:pPr>
      <w:r w:rsidRPr="00966257">
        <w:rPr>
          <w:i/>
          <w:iCs/>
        </w:rPr>
        <w:t>"</w:t>
      </w:r>
      <w:r w:rsidR="00136571">
        <w:rPr>
          <w:i/>
          <w:iCs/>
        </w:rPr>
        <w:t xml:space="preserve">Full Planning Permission – demolition of United Reform Church and associated ground floor units and the creation of a new public square with associated works. Outline Planning Permission - </w:t>
      </w:r>
      <w:r w:rsidRPr="00966257">
        <w:rPr>
          <w:i/>
          <w:iCs/>
        </w:rPr>
        <w:t xml:space="preserve">Phased demolition of remaining buildings and structures (with the exception of those fronting Green Lane and the former stable block to the rear of Green Lane). Erection of a phased mixed-use development (Use Classes A1, A2, A3, A4, A5,B1, C1, C3,D1, D2 - or equivalent Uses Classes, for any Uses that have been re-classified under the Use Classes Order 2020), with all matters reserved for future consideration with the exception of access" </w:t>
      </w:r>
      <w:r w:rsidRPr="004D1D5E">
        <w:t>(</w:t>
      </w:r>
      <w:r w:rsidR="001D4092">
        <w:rPr>
          <w:b/>
          <w:bCs/>
        </w:rPr>
        <w:t>Hybrid</w:t>
      </w:r>
      <w:r w:rsidRPr="004D1D5E">
        <w:rPr>
          <w:b/>
          <w:bCs/>
        </w:rPr>
        <w:t xml:space="preserve"> PP</w:t>
      </w:r>
      <w:r w:rsidRPr="004D1D5E">
        <w:t>)</w:t>
      </w:r>
    </w:p>
    <w:p w14:paraId="1CF8AD23" w14:textId="77777777" w:rsidR="00966257" w:rsidRDefault="00966257" w:rsidP="0009166D">
      <w:pPr>
        <w:spacing w:line="276" w:lineRule="auto"/>
        <w:jc w:val="left"/>
        <w:rPr>
          <w:i/>
          <w:iCs/>
        </w:rPr>
      </w:pPr>
    </w:p>
    <w:p w14:paraId="216A0322" w14:textId="37F4EB34" w:rsidR="00957B8F" w:rsidRDefault="00966257" w:rsidP="00FC28B2">
      <w:pPr>
        <w:pStyle w:val="Heading2"/>
        <w:rPr>
          <w:i/>
          <w:iCs/>
        </w:rPr>
      </w:pPr>
      <w:r>
        <w:t xml:space="preserve">The </w:t>
      </w:r>
      <w:r w:rsidR="005A600C">
        <w:t xml:space="preserve">Hybrid </w:t>
      </w:r>
      <w:r w:rsidR="00931A57">
        <w:t>PP</w:t>
      </w:r>
      <w:r w:rsidR="005A600C">
        <w:t xml:space="preserve"> was granted in respect of a wider parcel of land, enclosed by Macklin Street, Green Lane, Victoria Street and Becket Street. </w:t>
      </w:r>
      <w:r w:rsidR="003C046F">
        <w:t xml:space="preserve">The Hybrid PP is attached at Appendix </w:t>
      </w:r>
      <w:r w:rsidR="00301B0B">
        <w:t>A</w:t>
      </w:r>
      <w:r w:rsidR="003C046F">
        <w:t>.</w:t>
      </w:r>
    </w:p>
    <w:p w14:paraId="4CB49A42" w14:textId="4E2F37E3" w:rsidR="0022040A" w:rsidRDefault="00FC28B2" w:rsidP="00FC28B2">
      <w:pPr>
        <w:pStyle w:val="Heading2"/>
      </w:pPr>
      <w:r>
        <w:t xml:space="preserve">SJS </w:t>
      </w:r>
      <w:r w:rsidR="00B7377B">
        <w:t xml:space="preserve">obtained full planning permission on 20 October 2021, </w:t>
      </w:r>
      <w:r w:rsidR="00C14CE2">
        <w:t>pursuant</w:t>
      </w:r>
      <w:r w:rsidR="00B7377B">
        <w:t xml:space="preserve"> to application reference </w:t>
      </w:r>
      <w:r w:rsidR="00B7377B" w:rsidRPr="00B7377B">
        <w:t>21/01312/FUL</w:t>
      </w:r>
      <w:r w:rsidR="0022040A">
        <w:t>, for</w:t>
      </w:r>
      <w:r>
        <w:t xml:space="preserve"> the</w:t>
      </w:r>
      <w:r w:rsidR="0022040A">
        <w:t xml:space="preserve">: </w:t>
      </w:r>
    </w:p>
    <w:p w14:paraId="799CCB9F" w14:textId="0B0697DF" w:rsidR="00781297" w:rsidRDefault="0022040A" w:rsidP="00FC28B2">
      <w:pPr>
        <w:spacing w:line="276" w:lineRule="auto"/>
        <w:ind w:left="1418" w:hanging="720"/>
        <w:jc w:val="left"/>
      </w:pPr>
      <w:r>
        <w:tab/>
      </w:r>
      <w:r w:rsidRPr="00781297">
        <w:rPr>
          <w:i/>
          <w:iCs/>
        </w:rPr>
        <w:t>"Demolition of unretained buildings and structures, renovation and alterations to retained building, erection of a performance and entertainment venue, service yard, vehicular and pedestrian access, highway infrastructure amendments, landscaping, public realm, and associated works</w:t>
      </w:r>
      <w:r w:rsidR="00E674A3" w:rsidRPr="00781297">
        <w:rPr>
          <w:i/>
          <w:iCs/>
        </w:rPr>
        <w:t>" (</w:t>
      </w:r>
      <w:r w:rsidR="00FC28B2" w:rsidRPr="00FC28B2">
        <w:rPr>
          <w:b/>
          <w:bCs/>
        </w:rPr>
        <w:t xml:space="preserve">2021 </w:t>
      </w:r>
      <w:r w:rsidR="00FC28B2">
        <w:rPr>
          <w:b/>
          <w:bCs/>
        </w:rPr>
        <w:t xml:space="preserve">Performance Venue </w:t>
      </w:r>
      <w:r w:rsidR="00E674A3" w:rsidRPr="00FC28B2">
        <w:rPr>
          <w:b/>
          <w:bCs/>
        </w:rPr>
        <w:t>PP</w:t>
      </w:r>
      <w:r w:rsidR="00E674A3" w:rsidRPr="00781297">
        <w:rPr>
          <w:i/>
          <w:iCs/>
        </w:rPr>
        <w:t xml:space="preserve">). </w:t>
      </w:r>
    </w:p>
    <w:p w14:paraId="5041F49C" w14:textId="77777777" w:rsidR="00C43BB6" w:rsidRDefault="00C43BB6" w:rsidP="0009166D">
      <w:pPr>
        <w:spacing w:line="276" w:lineRule="auto"/>
        <w:ind w:left="720" w:hanging="720"/>
        <w:jc w:val="left"/>
      </w:pPr>
    </w:p>
    <w:p w14:paraId="4952531F" w14:textId="7C9547E5" w:rsidR="00600197" w:rsidRDefault="00E23920" w:rsidP="00FC28B2">
      <w:pPr>
        <w:pStyle w:val="Heading2"/>
      </w:pPr>
      <w:r>
        <w:t xml:space="preserve">The 2021 Performance Venue PP is attached at Appendix B. </w:t>
      </w:r>
      <w:r w:rsidR="00600197">
        <w:t>The construction of the performance and entertainment venue is a significant regeneration project in Derby City Centre</w:t>
      </w:r>
      <w:r w:rsidR="004B0C8A">
        <w:t xml:space="preserve"> and the completed building will be owned by </w:t>
      </w:r>
      <w:r w:rsidR="00DD6384">
        <w:t>Derby</w:t>
      </w:r>
      <w:r w:rsidR="004B0C8A">
        <w:t xml:space="preserve"> </w:t>
      </w:r>
      <w:r w:rsidR="00DD6384">
        <w:t>C</w:t>
      </w:r>
      <w:r w:rsidR="004B0C8A">
        <w:t xml:space="preserve">ity </w:t>
      </w:r>
      <w:r w:rsidR="00DD6384">
        <w:t>C</w:t>
      </w:r>
      <w:r w:rsidR="004B0C8A">
        <w:t>ouncil.</w:t>
      </w:r>
    </w:p>
    <w:p w14:paraId="0B78386F" w14:textId="77777777" w:rsidR="001C407A" w:rsidRDefault="00233814" w:rsidP="00FC28B2">
      <w:pPr>
        <w:pStyle w:val="Heading2"/>
      </w:pPr>
      <w:r>
        <w:lastRenderedPageBreak/>
        <w:t xml:space="preserve">Following the grant of the 2021 Performance Venue PP, </w:t>
      </w:r>
      <w:r w:rsidR="00600197">
        <w:t>SJS</w:t>
      </w:r>
      <w:r w:rsidR="0045419C">
        <w:t xml:space="preserve"> sought to amend the approved </w:t>
      </w:r>
      <w:r w:rsidR="00C36599">
        <w:t>plans. An application was submitted under section 73 of the Town and County Planning Act 1990</w:t>
      </w:r>
      <w:r w:rsidR="00D665D6">
        <w:t xml:space="preserve"> (</w:t>
      </w:r>
      <w:r w:rsidR="00D665D6">
        <w:rPr>
          <w:b/>
          <w:bCs/>
        </w:rPr>
        <w:t>1990 Act</w:t>
      </w:r>
      <w:r w:rsidR="00D665D6">
        <w:t>)</w:t>
      </w:r>
      <w:r w:rsidR="00C36599">
        <w:t xml:space="preserve"> </w:t>
      </w:r>
      <w:r w:rsidR="00D1745E">
        <w:t xml:space="preserve">for the: </w:t>
      </w:r>
    </w:p>
    <w:p w14:paraId="508A7A4C" w14:textId="6B829417" w:rsidR="001C407A" w:rsidRPr="001C407A" w:rsidRDefault="00D1745E" w:rsidP="001C407A">
      <w:pPr>
        <w:pStyle w:val="Heading2"/>
        <w:numPr>
          <w:ilvl w:val="0"/>
          <w:numId w:val="0"/>
        </w:numPr>
        <w:ind w:left="1418"/>
      </w:pPr>
      <w:r>
        <w:t>"</w:t>
      </w:r>
      <w:r>
        <w:rPr>
          <w:i/>
          <w:iCs/>
        </w:rPr>
        <w:t xml:space="preserve">Variation of condition 2 of previously approved planning permission code no. 21/01312/FUL to amend the approved plans". </w:t>
      </w:r>
    </w:p>
    <w:p w14:paraId="0767E49D" w14:textId="746E8FAB" w:rsidR="00D1745E" w:rsidRDefault="00D1745E" w:rsidP="00FC28B2">
      <w:pPr>
        <w:pStyle w:val="Heading2"/>
      </w:pPr>
      <w:r>
        <w:t>P</w:t>
      </w:r>
      <w:r w:rsidR="00C36599">
        <w:t xml:space="preserve">lanning permission was </w:t>
      </w:r>
      <w:r>
        <w:t xml:space="preserve">subsequently </w:t>
      </w:r>
      <w:r w:rsidR="00C36599">
        <w:t xml:space="preserve">granted on </w:t>
      </w:r>
      <w:r w:rsidR="003C046F">
        <w:t>2 March 2023 (under application reference 22/01765/VAR)</w:t>
      </w:r>
      <w:r>
        <w:t xml:space="preserve"> (</w:t>
      </w:r>
      <w:r>
        <w:rPr>
          <w:b/>
          <w:bCs/>
        </w:rPr>
        <w:t>2023 Permission</w:t>
      </w:r>
      <w:r>
        <w:t>)</w:t>
      </w:r>
      <w:r w:rsidR="003C046F">
        <w:t>.</w:t>
      </w:r>
      <w:r w:rsidR="0045419C">
        <w:t xml:space="preserve"> </w:t>
      </w:r>
      <w:r w:rsidR="00025075">
        <w:t>Th</w:t>
      </w:r>
      <w:r w:rsidR="00714A33">
        <w:t>e decision notice</w:t>
      </w:r>
      <w:r w:rsidR="00025075">
        <w:t xml:space="preserve"> is attached at Appendix </w:t>
      </w:r>
      <w:r w:rsidR="00301B0B">
        <w:t>C</w:t>
      </w:r>
      <w:r w:rsidR="00025075">
        <w:t xml:space="preserve">. </w:t>
      </w:r>
    </w:p>
    <w:p w14:paraId="19220D41" w14:textId="42D9DA29" w:rsidR="00D1745E" w:rsidRDefault="00D1745E" w:rsidP="00FC28B2">
      <w:pPr>
        <w:pStyle w:val="Heading2"/>
      </w:pPr>
      <w:r>
        <w:t>Condition 2 of the 2023 Permission sets out the approved plans. This includes the: (i) Landscape General Arrangement Plan (ref BEKRFM-PV-00-DR-L-0001 Rev P20) (</w:t>
      </w:r>
      <w:r>
        <w:rPr>
          <w:b/>
          <w:bCs/>
        </w:rPr>
        <w:t>Landscape Plan</w:t>
      </w:r>
      <w:r>
        <w:t>); (ii) Becketwell Site Illustrative Masterplan (Complete) (ref 0857-RFM-XX-00-DR-L-0004 Rev P08) (</w:t>
      </w:r>
      <w:r>
        <w:rPr>
          <w:b/>
          <w:bCs/>
        </w:rPr>
        <w:t>Masterplan</w:t>
      </w:r>
      <w:r>
        <w:t>)</w:t>
      </w:r>
      <w:r w:rsidR="00816452">
        <w:t xml:space="preserve">; and the (iii) Site Plan (ref BEK-COR-PV-00-A-331 Rev P08). </w:t>
      </w:r>
      <w:r>
        <w:t xml:space="preserve">These plans are attached at </w:t>
      </w:r>
      <w:r w:rsidR="00301B0B">
        <w:t>A</w:t>
      </w:r>
      <w:r>
        <w:t xml:space="preserve">ppendix </w:t>
      </w:r>
      <w:r w:rsidR="00301B0B">
        <w:t>F</w:t>
      </w:r>
      <w:r w:rsidR="00816452">
        <w:t>,</w:t>
      </w:r>
      <w:r w:rsidR="00301B0B">
        <w:t xml:space="preserve"> G</w:t>
      </w:r>
      <w:r w:rsidR="00816452">
        <w:t xml:space="preserve"> and H</w:t>
      </w:r>
      <w:r>
        <w:t>.</w:t>
      </w:r>
    </w:p>
    <w:p w14:paraId="3E64CA07" w14:textId="3B3620E6" w:rsidR="005E29AD" w:rsidRPr="00025075" w:rsidRDefault="00D1745E" w:rsidP="00FC28B2">
      <w:pPr>
        <w:pStyle w:val="Heading2"/>
      </w:pPr>
      <w:r>
        <w:t>The performance and entertainment venue is be</w:t>
      </w:r>
      <w:r w:rsidR="004576DE">
        <w:t>ing</w:t>
      </w:r>
      <w:r>
        <w:t xml:space="preserve"> constructed under the 2023 Permission.</w:t>
      </w:r>
      <w:r w:rsidR="007B5496">
        <w:t xml:space="preserve">  Construction </w:t>
      </w:r>
      <w:r w:rsidR="004B0C8A">
        <w:t>w</w:t>
      </w:r>
      <w:r w:rsidR="007B5496">
        <w:t>orks commenced in June 2023.</w:t>
      </w:r>
    </w:p>
    <w:p w14:paraId="31DDB7D2" w14:textId="7548BB97" w:rsidR="003900AB" w:rsidRDefault="003900AB" w:rsidP="00FC28B2">
      <w:pPr>
        <w:pStyle w:val="Heading1"/>
        <w:rPr>
          <w:lang w:eastAsia="en-GB"/>
        </w:rPr>
      </w:pPr>
      <w:r>
        <w:rPr>
          <w:lang w:eastAsia="en-GB"/>
        </w:rPr>
        <w:t xml:space="preserve">ANALYSIS </w:t>
      </w:r>
    </w:p>
    <w:p w14:paraId="30BC42D3" w14:textId="10376BC4" w:rsidR="00D665D6" w:rsidRDefault="003900AB" w:rsidP="00FC28B2">
      <w:pPr>
        <w:pStyle w:val="Heading2"/>
        <w:rPr>
          <w:lang w:eastAsia="en-GB"/>
        </w:rPr>
      </w:pPr>
      <w:r>
        <w:rPr>
          <w:lang w:eastAsia="en-GB"/>
        </w:rPr>
        <w:t xml:space="preserve">The test under </w:t>
      </w:r>
      <w:r w:rsidR="00D665D6">
        <w:rPr>
          <w:lang w:eastAsia="en-GB"/>
        </w:rPr>
        <w:t>s</w:t>
      </w:r>
      <w:r>
        <w:rPr>
          <w:lang w:eastAsia="en-GB"/>
        </w:rPr>
        <w:t>ection 2</w:t>
      </w:r>
      <w:r w:rsidR="001F4A53">
        <w:rPr>
          <w:lang w:eastAsia="en-GB"/>
        </w:rPr>
        <w:t>4</w:t>
      </w:r>
      <w:r>
        <w:rPr>
          <w:lang w:eastAsia="en-GB"/>
        </w:rPr>
        <w:t xml:space="preserve">7 </w:t>
      </w:r>
      <w:r w:rsidR="00D665D6">
        <w:rPr>
          <w:lang w:eastAsia="en-GB"/>
        </w:rPr>
        <w:t>of the 1990 Act i</w:t>
      </w:r>
      <w:r>
        <w:rPr>
          <w:lang w:eastAsia="en-GB"/>
        </w:rPr>
        <w:t xml:space="preserve">s whether the stopping up is necessary in order for the development to be carried out in accordance with the </w:t>
      </w:r>
      <w:r w:rsidR="00D665D6">
        <w:rPr>
          <w:lang w:eastAsia="en-GB"/>
        </w:rPr>
        <w:t>relevant planning permission</w:t>
      </w:r>
      <w:r>
        <w:rPr>
          <w:lang w:eastAsia="en-GB"/>
        </w:rPr>
        <w:t>.</w:t>
      </w:r>
      <w:r w:rsidR="00D665D6">
        <w:rPr>
          <w:lang w:eastAsia="en-GB"/>
        </w:rPr>
        <w:t xml:space="preserve"> </w:t>
      </w:r>
    </w:p>
    <w:p w14:paraId="23D0A046" w14:textId="3E507C45" w:rsidR="003900AB" w:rsidRDefault="00D665D6" w:rsidP="00FC28B2">
      <w:pPr>
        <w:pStyle w:val="Heading2"/>
        <w:rPr>
          <w:lang w:eastAsia="en-GB"/>
        </w:rPr>
      </w:pPr>
      <w:r>
        <w:rPr>
          <w:lang w:eastAsia="en-GB"/>
        </w:rPr>
        <w:t>This therefore requires a conflict between the planning permission and the highway – albeit, the highway itself does not need to be obstructed by a physical development to justify a stopping up order.</w:t>
      </w:r>
      <w:r w:rsidR="003900AB">
        <w:rPr>
          <w:lang w:eastAsia="en-GB"/>
        </w:rPr>
        <w:t xml:space="preserve"> </w:t>
      </w:r>
    </w:p>
    <w:p w14:paraId="3CE117DD" w14:textId="77777777" w:rsidR="001C407A" w:rsidRDefault="001408E2" w:rsidP="00FC28B2">
      <w:pPr>
        <w:pStyle w:val="Heading2"/>
        <w:rPr>
          <w:lang w:eastAsia="en-GB"/>
        </w:rPr>
      </w:pPr>
      <w:r w:rsidRPr="001408E2">
        <w:rPr>
          <w:lang w:eastAsia="en-GB"/>
        </w:rPr>
        <w:t>The</w:t>
      </w:r>
      <w:r w:rsidR="00D1745E">
        <w:rPr>
          <w:lang w:eastAsia="en-GB"/>
        </w:rPr>
        <w:t xml:space="preserve"> pedestrian </w:t>
      </w:r>
      <w:r w:rsidRPr="001408E2">
        <w:rPr>
          <w:lang w:eastAsia="en-GB"/>
        </w:rPr>
        <w:t xml:space="preserve">entrance </w:t>
      </w:r>
      <w:r w:rsidR="00D1745E">
        <w:rPr>
          <w:lang w:eastAsia="en-GB"/>
        </w:rPr>
        <w:t xml:space="preserve">to the venue will be taken from </w:t>
      </w:r>
      <w:r w:rsidRPr="001408E2">
        <w:rPr>
          <w:lang w:eastAsia="en-GB"/>
        </w:rPr>
        <w:t>Colyear St</w:t>
      </w:r>
      <w:r>
        <w:rPr>
          <w:lang w:eastAsia="en-GB"/>
        </w:rPr>
        <w:t>reet</w:t>
      </w:r>
      <w:r w:rsidR="00D1745E">
        <w:rPr>
          <w:lang w:eastAsia="en-GB"/>
        </w:rPr>
        <w:t>. The Landscape Plan highlights that steps</w:t>
      </w:r>
      <w:r w:rsidR="00A12C6F">
        <w:rPr>
          <w:lang w:eastAsia="en-GB"/>
        </w:rPr>
        <w:t xml:space="preserve"> and a ramp</w:t>
      </w:r>
      <w:r w:rsidR="00D1745E">
        <w:rPr>
          <w:lang w:eastAsia="en-GB"/>
        </w:rPr>
        <w:t xml:space="preserve"> will be installed to facilitate access, various landscape features will be installed to the north-west and west of Colyear Street and </w:t>
      </w:r>
      <w:r w:rsidR="00A12C6F">
        <w:rPr>
          <w:lang w:eastAsia="en-GB"/>
        </w:rPr>
        <w:t>a</w:t>
      </w:r>
      <w:r w:rsidR="00DD6384">
        <w:rPr>
          <w:lang w:eastAsia="en-GB"/>
        </w:rPr>
        <w:t xml:space="preserve"> </w:t>
      </w:r>
      <w:r w:rsidR="00D1745E">
        <w:rPr>
          <w:lang w:eastAsia="en-GB"/>
        </w:rPr>
        <w:t>Yorkstone flag pav</w:t>
      </w:r>
      <w:r w:rsidR="00A12C6F">
        <w:rPr>
          <w:lang w:eastAsia="en-GB"/>
        </w:rPr>
        <w:t>ed area</w:t>
      </w:r>
      <w:r w:rsidR="00D1745E">
        <w:rPr>
          <w:lang w:eastAsia="en-GB"/>
        </w:rPr>
        <w:t xml:space="preserve"> will </w:t>
      </w:r>
      <w:r w:rsidR="004B0C8A">
        <w:rPr>
          <w:lang w:eastAsia="en-GB"/>
        </w:rPr>
        <w:t>create a</w:t>
      </w:r>
      <w:r w:rsidR="00A12C6F">
        <w:rPr>
          <w:lang w:eastAsia="en-GB"/>
        </w:rPr>
        <w:t xml:space="preserve"> space</w:t>
      </w:r>
      <w:r w:rsidR="004B0C8A">
        <w:rPr>
          <w:lang w:eastAsia="en-GB"/>
        </w:rPr>
        <w:t xml:space="preserve"> for safe queuing before entry to the venue</w:t>
      </w:r>
      <w:r w:rsidR="00A12C6F">
        <w:rPr>
          <w:lang w:eastAsia="en-GB"/>
        </w:rPr>
        <w:t xml:space="preserve"> that is</w:t>
      </w:r>
      <w:r w:rsidR="004B0C8A">
        <w:rPr>
          <w:lang w:eastAsia="en-GB"/>
        </w:rPr>
        <w:t xml:space="preserve"> clear of the highway</w:t>
      </w:r>
      <w:r w:rsidR="00D1745E">
        <w:rPr>
          <w:lang w:eastAsia="en-GB"/>
        </w:rPr>
        <w:t xml:space="preserve">. </w:t>
      </w:r>
    </w:p>
    <w:p w14:paraId="3794A018" w14:textId="596CC57C" w:rsidR="003D3FC7" w:rsidRDefault="00D1745E" w:rsidP="00FC28B2">
      <w:pPr>
        <w:pStyle w:val="Heading2"/>
        <w:rPr>
          <w:lang w:eastAsia="en-GB"/>
        </w:rPr>
      </w:pPr>
      <w:r>
        <w:rPr>
          <w:lang w:eastAsia="en-GB"/>
        </w:rPr>
        <w:t xml:space="preserve">This requires Colyear </w:t>
      </w:r>
      <w:r w:rsidR="002D188F">
        <w:rPr>
          <w:lang w:eastAsia="en-GB"/>
        </w:rPr>
        <w:t>S</w:t>
      </w:r>
      <w:r>
        <w:rPr>
          <w:lang w:eastAsia="en-GB"/>
        </w:rPr>
        <w:t>treet to be narrowed, such that it would be one way only. The advantage of this approach, which has been discussed and agreed with the local highway authority</w:t>
      </w:r>
      <w:r w:rsidR="00A12C6F">
        <w:rPr>
          <w:lang w:eastAsia="en-GB"/>
        </w:rPr>
        <w:t xml:space="preserve"> and other agencies including the police</w:t>
      </w:r>
      <w:r>
        <w:rPr>
          <w:lang w:eastAsia="en-GB"/>
        </w:rPr>
        <w:t>, is that Colyear Street can, for health and safety</w:t>
      </w:r>
      <w:r w:rsidR="004B0C8A">
        <w:rPr>
          <w:lang w:eastAsia="en-GB"/>
        </w:rPr>
        <w:t xml:space="preserve"> and anti-terror</w:t>
      </w:r>
      <w:r>
        <w:rPr>
          <w:lang w:eastAsia="en-GB"/>
        </w:rPr>
        <w:t xml:space="preserve"> reasons, </w:t>
      </w:r>
      <w:r w:rsidR="001408E2" w:rsidRPr="001408E2">
        <w:rPr>
          <w:lang w:eastAsia="en-GB"/>
        </w:rPr>
        <w:t>be</w:t>
      </w:r>
      <w:r>
        <w:rPr>
          <w:lang w:eastAsia="en-GB"/>
        </w:rPr>
        <w:t xml:space="preserve"> temporarily </w:t>
      </w:r>
      <w:r w:rsidR="001408E2" w:rsidRPr="001408E2">
        <w:rPr>
          <w:lang w:eastAsia="en-GB"/>
        </w:rPr>
        <w:t xml:space="preserve">closed to traffic when large events are hosted at the arena.  </w:t>
      </w:r>
    </w:p>
    <w:p w14:paraId="380543B5" w14:textId="70C96A1D" w:rsidR="00D1745E" w:rsidRDefault="00D1745E" w:rsidP="00D1745E">
      <w:pPr>
        <w:pStyle w:val="Heading2"/>
        <w:rPr>
          <w:lang w:eastAsia="en-GB"/>
        </w:rPr>
      </w:pPr>
      <w:r>
        <w:rPr>
          <w:lang w:eastAsia="en-GB"/>
        </w:rPr>
        <w:t xml:space="preserve">The plan attached at </w:t>
      </w:r>
      <w:r w:rsidR="004576DE">
        <w:rPr>
          <w:lang w:eastAsia="en-GB"/>
        </w:rPr>
        <w:t>A</w:t>
      </w:r>
      <w:r>
        <w:rPr>
          <w:lang w:eastAsia="en-GB"/>
        </w:rPr>
        <w:t xml:space="preserve">ppendix </w:t>
      </w:r>
      <w:r w:rsidR="00301B0B">
        <w:rPr>
          <w:lang w:eastAsia="en-GB"/>
        </w:rPr>
        <w:t>D</w:t>
      </w:r>
      <w:r>
        <w:rPr>
          <w:lang w:eastAsia="en-GB"/>
        </w:rPr>
        <w:t xml:space="preserve">, shows an overlay of the proposed stopping up area on top of the planning application boundary </w:t>
      </w:r>
      <w:r w:rsidRPr="00791427">
        <w:rPr>
          <w:lang w:eastAsia="en-GB"/>
        </w:rPr>
        <w:t>for the 2023 Permission</w:t>
      </w:r>
      <w:r w:rsidR="00791427" w:rsidRPr="00791427">
        <w:rPr>
          <w:lang w:eastAsia="en-GB"/>
        </w:rPr>
        <w:t>, with the site boundary edged red and the existing highway boundary</w:t>
      </w:r>
      <w:r w:rsidR="001C407A">
        <w:rPr>
          <w:lang w:eastAsia="en-GB"/>
        </w:rPr>
        <w:t xml:space="preserve"> </w:t>
      </w:r>
      <w:r w:rsidR="00791427" w:rsidRPr="00791427">
        <w:rPr>
          <w:lang w:eastAsia="en-GB"/>
        </w:rPr>
        <w:t>edged blue.</w:t>
      </w:r>
      <w:r w:rsidR="00791427">
        <w:rPr>
          <w:lang w:eastAsia="en-GB"/>
        </w:rPr>
        <w:t xml:space="preserve"> </w:t>
      </w:r>
    </w:p>
    <w:p w14:paraId="2CDF472B" w14:textId="1C9586E7" w:rsidR="00D1745E" w:rsidRDefault="00D1745E" w:rsidP="00D1745E">
      <w:pPr>
        <w:pStyle w:val="Heading2"/>
        <w:rPr>
          <w:lang w:eastAsia="en-GB"/>
        </w:rPr>
      </w:pPr>
      <w:r>
        <w:rPr>
          <w:lang w:eastAsia="en-GB"/>
        </w:rPr>
        <w:t xml:space="preserve">Point A to </w:t>
      </w:r>
      <w:r w:rsidR="001B48F8">
        <w:rPr>
          <w:lang w:eastAsia="en-GB"/>
        </w:rPr>
        <w:t>C</w:t>
      </w:r>
      <w:r>
        <w:rPr>
          <w:lang w:eastAsia="en-GB"/>
        </w:rPr>
        <w:t xml:space="preserve"> of the proposed stopping up order is in conflict with the 2023 Permission, as this is the area in which the steps</w:t>
      </w:r>
      <w:r w:rsidR="00A12C6F">
        <w:rPr>
          <w:lang w:eastAsia="en-GB"/>
        </w:rPr>
        <w:t xml:space="preserve"> and ramp</w:t>
      </w:r>
      <w:r>
        <w:rPr>
          <w:lang w:eastAsia="en-GB"/>
        </w:rPr>
        <w:t xml:space="preserve"> need to be constructed, the landscape features are to be constructed and the Yorkstone flag</w:t>
      </w:r>
      <w:r w:rsidR="00A12C6F">
        <w:rPr>
          <w:lang w:eastAsia="en-GB"/>
        </w:rPr>
        <w:t>ged</w:t>
      </w:r>
      <w:r>
        <w:rPr>
          <w:lang w:eastAsia="en-GB"/>
        </w:rPr>
        <w:t xml:space="preserve"> pav</w:t>
      </w:r>
      <w:r w:rsidR="004B0C8A">
        <w:rPr>
          <w:lang w:eastAsia="en-GB"/>
        </w:rPr>
        <w:t>ed queuing area</w:t>
      </w:r>
      <w:r>
        <w:rPr>
          <w:lang w:eastAsia="en-GB"/>
        </w:rPr>
        <w:t xml:space="preserve"> is to be installed. The Landscape Plan and the Masterplan clearly highlight the conflict between the existence of the highway, between points A and </w:t>
      </w:r>
      <w:r w:rsidR="001B48F8">
        <w:rPr>
          <w:lang w:eastAsia="en-GB"/>
        </w:rPr>
        <w:t>C</w:t>
      </w:r>
      <w:r>
        <w:rPr>
          <w:lang w:eastAsia="en-GB"/>
        </w:rPr>
        <w:t>, and the 2023 Permission.</w:t>
      </w:r>
    </w:p>
    <w:p w14:paraId="118F4BD7" w14:textId="649A2351" w:rsidR="00C169B3" w:rsidRDefault="00BF4E05" w:rsidP="00C169B3">
      <w:pPr>
        <w:pStyle w:val="Heading2"/>
        <w:rPr>
          <w:lang w:eastAsia="en-GB"/>
        </w:rPr>
      </w:pPr>
      <w:r>
        <w:rPr>
          <w:lang w:eastAsia="en-GB"/>
        </w:rPr>
        <w:lastRenderedPageBreak/>
        <w:t xml:space="preserve">By reference to </w:t>
      </w:r>
      <w:r w:rsidRPr="00791427">
        <w:rPr>
          <w:lang w:eastAsia="en-GB"/>
        </w:rPr>
        <w:t>the stopping up plan at Appendix E,</w:t>
      </w:r>
      <w:r w:rsidR="00791427">
        <w:rPr>
          <w:lang w:eastAsia="en-GB"/>
        </w:rPr>
        <w:t xml:space="preserve"> </w:t>
      </w:r>
      <w:r>
        <w:rPr>
          <w:lang w:eastAsia="en-GB"/>
        </w:rPr>
        <w:t>it can be seen that p</w:t>
      </w:r>
      <w:r w:rsidR="00C169B3">
        <w:rPr>
          <w:lang w:eastAsia="en-GB"/>
        </w:rPr>
        <w:t xml:space="preserve">oint A is the narrowest </w:t>
      </w:r>
      <w:r>
        <w:rPr>
          <w:lang w:eastAsia="en-GB"/>
        </w:rPr>
        <w:t>part of the</w:t>
      </w:r>
      <w:r w:rsidR="00C169B3">
        <w:rPr>
          <w:lang w:eastAsia="en-GB"/>
        </w:rPr>
        <w:t xml:space="preserve"> public highway to be stopped up, at 0.91 metres. The width of highway </w:t>
      </w:r>
      <w:r w:rsidR="005D14DB">
        <w:rPr>
          <w:lang w:eastAsia="en-GB"/>
        </w:rPr>
        <w:t>t</w:t>
      </w:r>
      <w:r w:rsidR="00C169B3">
        <w:rPr>
          <w:lang w:eastAsia="en-GB"/>
        </w:rPr>
        <w:t xml:space="preserve">o be stopped up is </w:t>
      </w:r>
      <w:r w:rsidR="005D14DB">
        <w:rPr>
          <w:lang w:eastAsia="en-GB"/>
        </w:rPr>
        <w:t xml:space="preserve">generally 4.2 metres, but it is slightly wider in some places. At its widest, at point </w:t>
      </w:r>
      <w:r w:rsidR="001B48F8">
        <w:rPr>
          <w:lang w:eastAsia="en-GB"/>
        </w:rPr>
        <w:t>D</w:t>
      </w:r>
      <w:r w:rsidR="005D14DB">
        <w:rPr>
          <w:lang w:eastAsia="en-GB"/>
        </w:rPr>
        <w:t xml:space="preserve">, </w:t>
      </w:r>
      <w:r w:rsidR="00C169B3">
        <w:rPr>
          <w:lang w:eastAsia="en-GB"/>
        </w:rPr>
        <w:t>it is 4.9 metres</w:t>
      </w:r>
      <w:r w:rsidR="005D14DB">
        <w:rPr>
          <w:lang w:eastAsia="en-GB"/>
        </w:rPr>
        <w:t xml:space="preserve">. </w:t>
      </w:r>
      <w:r w:rsidR="00C169B3">
        <w:rPr>
          <w:lang w:eastAsia="en-GB"/>
        </w:rPr>
        <w:t>The distance from point A to C</w:t>
      </w:r>
      <w:r w:rsidR="005D14DB">
        <w:rPr>
          <w:lang w:eastAsia="en-GB"/>
        </w:rPr>
        <w:t xml:space="preserve"> is </w:t>
      </w:r>
      <w:r w:rsidR="001B48F8">
        <w:rPr>
          <w:lang w:eastAsia="en-GB"/>
        </w:rPr>
        <w:t>63.4</w:t>
      </w:r>
      <w:r w:rsidR="005D14DB">
        <w:rPr>
          <w:lang w:eastAsia="en-GB"/>
        </w:rPr>
        <w:t xml:space="preserve"> metres. The width of land to be stopped up narrows at the southern tip of the area hatched black on the plan at Appendix E.</w:t>
      </w:r>
      <w:r>
        <w:rPr>
          <w:lang w:eastAsia="en-GB"/>
        </w:rPr>
        <w:t xml:space="preserve"> The total area to be stopped up is 257.15 sqm.</w:t>
      </w:r>
    </w:p>
    <w:p w14:paraId="28193A5E" w14:textId="2C1FDB67" w:rsidR="00D1745E" w:rsidRDefault="00D1745E" w:rsidP="00D1745E">
      <w:pPr>
        <w:pStyle w:val="Heading2"/>
        <w:rPr>
          <w:lang w:eastAsia="en-GB"/>
        </w:rPr>
      </w:pPr>
      <w:r w:rsidRPr="001408E2">
        <w:rPr>
          <w:lang w:eastAsia="en-GB"/>
        </w:rPr>
        <w:t>The area that will formerly have been highway</w:t>
      </w:r>
      <w:r>
        <w:rPr>
          <w:lang w:eastAsia="en-GB"/>
        </w:rPr>
        <w:t>,</w:t>
      </w:r>
      <w:r w:rsidRPr="001408E2">
        <w:rPr>
          <w:lang w:eastAsia="en-GB"/>
        </w:rPr>
        <w:t xml:space="preserve"> </w:t>
      </w:r>
      <w:r>
        <w:rPr>
          <w:lang w:eastAsia="en-GB"/>
        </w:rPr>
        <w:t>should the</w:t>
      </w:r>
      <w:r w:rsidRPr="001408E2">
        <w:rPr>
          <w:lang w:eastAsia="en-GB"/>
        </w:rPr>
        <w:t xml:space="preserve"> stopping up order </w:t>
      </w:r>
      <w:r>
        <w:rPr>
          <w:lang w:eastAsia="en-GB"/>
        </w:rPr>
        <w:t xml:space="preserve">be made, shall </w:t>
      </w:r>
      <w:r w:rsidRPr="001408E2">
        <w:rPr>
          <w:lang w:eastAsia="en-GB"/>
        </w:rPr>
        <w:t>become part of an enlarged public realm in front of the arena. The development</w:t>
      </w:r>
      <w:r>
        <w:rPr>
          <w:lang w:eastAsia="en-GB"/>
        </w:rPr>
        <w:t xml:space="preserve">, pursuant to the 2023 Permission, </w:t>
      </w:r>
      <w:r w:rsidRPr="001408E2">
        <w:rPr>
          <w:lang w:eastAsia="en-GB"/>
        </w:rPr>
        <w:t>is predicated on this part of the highway being stopped up.</w:t>
      </w:r>
    </w:p>
    <w:p w14:paraId="51F4FCCF" w14:textId="60AC7314" w:rsidR="009D5052" w:rsidRDefault="009D5052" w:rsidP="00FC28B2">
      <w:pPr>
        <w:pStyle w:val="Heading1"/>
        <w:rPr>
          <w:lang w:eastAsia="en-GB"/>
        </w:rPr>
      </w:pPr>
      <w:r>
        <w:rPr>
          <w:lang w:eastAsia="en-GB"/>
        </w:rPr>
        <w:t xml:space="preserve">CONCLUSION </w:t>
      </w:r>
    </w:p>
    <w:p w14:paraId="056209F5" w14:textId="5D30BC9B" w:rsidR="009D5052" w:rsidRDefault="00CA0FB8" w:rsidP="00FC28B2">
      <w:pPr>
        <w:pStyle w:val="Heading2"/>
        <w:rPr>
          <w:lang w:eastAsia="en-GB"/>
        </w:rPr>
      </w:pPr>
      <w:r>
        <w:rPr>
          <w:lang w:eastAsia="en-GB"/>
        </w:rPr>
        <w:t xml:space="preserve">The construction of the performance arena, under the </w:t>
      </w:r>
      <w:r w:rsidR="00D1745E">
        <w:rPr>
          <w:lang w:eastAsia="en-GB"/>
        </w:rPr>
        <w:t>2023 Permission,</w:t>
      </w:r>
      <w:r>
        <w:rPr>
          <w:lang w:eastAsia="en-GB"/>
        </w:rPr>
        <w:t xml:space="preserve"> </w:t>
      </w:r>
      <w:r w:rsidR="00E2451F">
        <w:rPr>
          <w:lang w:eastAsia="en-GB"/>
        </w:rPr>
        <w:t xml:space="preserve">will bring significant </w:t>
      </w:r>
      <w:r w:rsidR="00D1745E">
        <w:rPr>
          <w:lang w:eastAsia="en-GB"/>
        </w:rPr>
        <w:t xml:space="preserve">economic </w:t>
      </w:r>
      <w:r w:rsidR="00E2451F">
        <w:rPr>
          <w:lang w:eastAsia="en-GB"/>
        </w:rPr>
        <w:t xml:space="preserve">benefits to the </w:t>
      </w:r>
      <w:r w:rsidR="00D1745E">
        <w:rPr>
          <w:lang w:eastAsia="en-GB"/>
        </w:rPr>
        <w:t>region</w:t>
      </w:r>
      <w:r w:rsidR="00E2451F">
        <w:rPr>
          <w:lang w:eastAsia="en-GB"/>
        </w:rPr>
        <w:t xml:space="preserve">. </w:t>
      </w:r>
    </w:p>
    <w:p w14:paraId="64307EC7" w14:textId="2F2F2FA8" w:rsidR="00D1745E" w:rsidRDefault="00D1745E" w:rsidP="00FC28B2">
      <w:pPr>
        <w:pStyle w:val="Heading2"/>
        <w:rPr>
          <w:lang w:eastAsia="en-GB"/>
        </w:rPr>
      </w:pPr>
      <w:r>
        <w:rPr>
          <w:lang w:eastAsia="en-GB"/>
        </w:rPr>
        <w:t xml:space="preserve">There is a conflict between the 2023 Permission and the sections of the adopted highway, shown hatched black on the plans at </w:t>
      </w:r>
      <w:r w:rsidR="004576DE">
        <w:rPr>
          <w:lang w:eastAsia="en-GB"/>
        </w:rPr>
        <w:t>A</w:t>
      </w:r>
      <w:r>
        <w:rPr>
          <w:lang w:eastAsia="en-GB"/>
        </w:rPr>
        <w:t xml:space="preserve">ppendix </w:t>
      </w:r>
      <w:r w:rsidR="001E6401">
        <w:rPr>
          <w:lang w:eastAsia="en-GB"/>
        </w:rPr>
        <w:t>D</w:t>
      </w:r>
      <w:r w:rsidR="00301B0B">
        <w:rPr>
          <w:lang w:eastAsia="en-GB"/>
        </w:rPr>
        <w:t xml:space="preserve"> and </w:t>
      </w:r>
      <w:r w:rsidR="001E6401">
        <w:rPr>
          <w:lang w:eastAsia="en-GB"/>
        </w:rPr>
        <w:t>E</w:t>
      </w:r>
      <w:r>
        <w:rPr>
          <w:lang w:eastAsia="en-GB"/>
        </w:rPr>
        <w:t>, on Colyear Street. For the reasons explained in paragraph 3 above, we request that the S</w:t>
      </w:r>
      <w:r w:rsidR="001E6401">
        <w:rPr>
          <w:lang w:eastAsia="en-GB"/>
        </w:rPr>
        <w:t>o</w:t>
      </w:r>
      <w:r>
        <w:rPr>
          <w:lang w:eastAsia="en-GB"/>
        </w:rPr>
        <w:t>S make an order under section 247 of the Act as soon as reasonably practicable.</w:t>
      </w:r>
      <w:r w:rsidR="00FC58BD">
        <w:rPr>
          <w:lang w:eastAsia="en-GB"/>
        </w:rPr>
        <w:tab/>
      </w:r>
    </w:p>
    <w:p w14:paraId="7E05A1F2" w14:textId="74477A8C" w:rsidR="00FC58BD" w:rsidRPr="009E5A8F" w:rsidRDefault="00D1745E" w:rsidP="00FC28B2">
      <w:pPr>
        <w:pStyle w:val="Heading2"/>
        <w:rPr>
          <w:lang w:eastAsia="en-GB"/>
        </w:rPr>
      </w:pPr>
      <w:r w:rsidRPr="009E5A8F">
        <w:rPr>
          <w:lang w:eastAsia="en-GB"/>
        </w:rPr>
        <w:t>If it is helpful to discuss any aspects of this application, please do not hesitate to contact Josh Kitson, of Walker Morris LLP, on the contact details set out in section A of the application form.</w:t>
      </w:r>
      <w:r w:rsidR="00FC58BD" w:rsidRPr="009E5A8F">
        <w:rPr>
          <w:lang w:eastAsia="en-GB"/>
        </w:rPr>
        <w:t xml:space="preserve"> </w:t>
      </w:r>
    </w:p>
    <w:p w14:paraId="741F3A7F" w14:textId="48E375CE" w:rsidR="00B33B58" w:rsidRPr="00821BE6" w:rsidRDefault="00B33B58" w:rsidP="0009166D">
      <w:pPr>
        <w:autoSpaceDE w:val="0"/>
        <w:autoSpaceDN w:val="0"/>
        <w:adjustRightInd w:val="0"/>
        <w:snapToGrid w:val="0"/>
        <w:spacing w:line="276" w:lineRule="auto"/>
        <w:ind w:left="720" w:hanging="720"/>
        <w:jc w:val="left"/>
        <w:rPr>
          <w:iCs/>
          <w:color w:val="000000"/>
          <w:szCs w:val="24"/>
          <w:lang w:eastAsia="en-GB"/>
        </w:rPr>
      </w:pPr>
      <w:r w:rsidRPr="00821BE6">
        <w:rPr>
          <w:b/>
          <w:bCs/>
          <w:iCs/>
          <w:color w:val="000000"/>
          <w:szCs w:val="24"/>
          <w:lang w:eastAsia="en-GB"/>
        </w:rPr>
        <w:t>Appendix A</w:t>
      </w:r>
      <w:r w:rsidR="009A5776" w:rsidRPr="00821BE6">
        <w:rPr>
          <w:b/>
          <w:bCs/>
          <w:iCs/>
          <w:color w:val="000000"/>
          <w:szCs w:val="24"/>
          <w:lang w:eastAsia="en-GB"/>
        </w:rPr>
        <w:t>:</w:t>
      </w:r>
      <w:r w:rsidRPr="00821BE6">
        <w:rPr>
          <w:iCs/>
          <w:color w:val="000000"/>
          <w:szCs w:val="24"/>
          <w:lang w:eastAsia="en-GB"/>
        </w:rPr>
        <w:t xml:space="preserve"> </w:t>
      </w:r>
      <w:r w:rsidR="00BA44F8">
        <w:rPr>
          <w:iCs/>
          <w:color w:val="000000"/>
          <w:szCs w:val="24"/>
          <w:lang w:eastAsia="en-GB"/>
        </w:rPr>
        <w:t>Hybrid</w:t>
      </w:r>
      <w:r w:rsidRPr="00821BE6">
        <w:rPr>
          <w:iCs/>
          <w:color w:val="000000"/>
          <w:szCs w:val="24"/>
          <w:lang w:eastAsia="en-GB"/>
        </w:rPr>
        <w:t xml:space="preserve"> </w:t>
      </w:r>
      <w:r w:rsidR="000806FE" w:rsidRPr="00821BE6">
        <w:rPr>
          <w:iCs/>
          <w:color w:val="000000"/>
          <w:szCs w:val="24"/>
          <w:lang w:eastAsia="en-GB"/>
        </w:rPr>
        <w:t>planning permission reference 19/</w:t>
      </w:r>
      <w:r w:rsidR="001C407A">
        <w:rPr>
          <w:iCs/>
          <w:color w:val="000000"/>
          <w:szCs w:val="24"/>
          <w:lang w:eastAsia="en-GB"/>
        </w:rPr>
        <w:t>0</w:t>
      </w:r>
      <w:r w:rsidR="000806FE" w:rsidRPr="00821BE6">
        <w:rPr>
          <w:iCs/>
          <w:color w:val="000000"/>
          <w:szCs w:val="24"/>
          <w:lang w:eastAsia="en-GB"/>
        </w:rPr>
        <w:t>1245</w:t>
      </w:r>
    </w:p>
    <w:p w14:paraId="7E67EFB1" w14:textId="0B07E4DC" w:rsidR="00B33B58" w:rsidRPr="00821BE6" w:rsidRDefault="00B33B58" w:rsidP="0009166D">
      <w:pPr>
        <w:autoSpaceDE w:val="0"/>
        <w:autoSpaceDN w:val="0"/>
        <w:adjustRightInd w:val="0"/>
        <w:snapToGrid w:val="0"/>
        <w:spacing w:line="276" w:lineRule="auto"/>
        <w:ind w:left="720" w:hanging="720"/>
        <w:jc w:val="left"/>
        <w:rPr>
          <w:iCs/>
          <w:color w:val="000000"/>
          <w:szCs w:val="24"/>
          <w:lang w:eastAsia="en-GB"/>
        </w:rPr>
      </w:pPr>
      <w:r w:rsidRPr="00821BE6">
        <w:rPr>
          <w:b/>
          <w:bCs/>
          <w:iCs/>
          <w:color w:val="000000"/>
          <w:szCs w:val="24"/>
          <w:lang w:eastAsia="en-GB"/>
        </w:rPr>
        <w:t>Appendix B</w:t>
      </w:r>
      <w:r w:rsidR="009A5776" w:rsidRPr="00821BE6">
        <w:rPr>
          <w:b/>
          <w:bCs/>
          <w:iCs/>
          <w:color w:val="000000"/>
          <w:szCs w:val="24"/>
          <w:lang w:eastAsia="en-GB"/>
        </w:rPr>
        <w:t>:</w:t>
      </w:r>
      <w:r w:rsidRPr="00821BE6">
        <w:rPr>
          <w:iCs/>
          <w:color w:val="000000"/>
          <w:szCs w:val="24"/>
          <w:lang w:eastAsia="en-GB"/>
        </w:rPr>
        <w:t xml:space="preserve"> </w:t>
      </w:r>
      <w:r w:rsidR="000806FE" w:rsidRPr="00821BE6">
        <w:rPr>
          <w:iCs/>
          <w:color w:val="000000"/>
          <w:szCs w:val="24"/>
          <w:lang w:eastAsia="en-GB"/>
        </w:rPr>
        <w:t xml:space="preserve">2021 performance venue planning permission reference </w:t>
      </w:r>
      <w:r w:rsidR="000806FE" w:rsidRPr="00821BE6">
        <w:t>21/01312/FUL</w:t>
      </w:r>
    </w:p>
    <w:p w14:paraId="73B901AD" w14:textId="7BD73B39" w:rsidR="00960F48" w:rsidRPr="00821BE6" w:rsidRDefault="00B33B58" w:rsidP="0009166D">
      <w:pPr>
        <w:autoSpaceDE w:val="0"/>
        <w:autoSpaceDN w:val="0"/>
        <w:adjustRightInd w:val="0"/>
        <w:snapToGrid w:val="0"/>
        <w:spacing w:line="276" w:lineRule="auto"/>
        <w:ind w:left="720" w:hanging="720"/>
        <w:jc w:val="left"/>
        <w:rPr>
          <w:iCs/>
          <w:color w:val="000000"/>
          <w:szCs w:val="24"/>
          <w:lang w:eastAsia="en-GB"/>
        </w:rPr>
      </w:pPr>
      <w:r w:rsidRPr="00821BE6">
        <w:rPr>
          <w:b/>
          <w:bCs/>
          <w:iCs/>
          <w:color w:val="000000"/>
          <w:szCs w:val="24"/>
          <w:lang w:eastAsia="en-GB"/>
        </w:rPr>
        <w:t xml:space="preserve">Appendix </w:t>
      </w:r>
      <w:r w:rsidR="000806FE" w:rsidRPr="00821BE6">
        <w:rPr>
          <w:b/>
          <w:bCs/>
          <w:iCs/>
          <w:color w:val="000000"/>
          <w:szCs w:val="24"/>
          <w:lang w:eastAsia="en-GB"/>
        </w:rPr>
        <w:t>C</w:t>
      </w:r>
      <w:r w:rsidR="009A5776" w:rsidRPr="00821BE6">
        <w:rPr>
          <w:b/>
          <w:bCs/>
          <w:iCs/>
          <w:color w:val="000000"/>
          <w:szCs w:val="24"/>
          <w:lang w:eastAsia="en-GB"/>
        </w:rPr>
        <w:t>:</w:t>
      </w:r>
      <w:r w:rsidRPr="00821BE6">
        <w:rPr>
          <w:iCs/>
          <w:color w:val="000000"/>
          <w:szCs w:val="24"/>
          <w:lang w:eastAsia="en-GB"/>
        </w:rPr>
        <w:t xml:space="preserve"> Section 73 </w:t>
      </w:r>
      <w:r w:rsidR="000806FE" w:rsidRPr="00821BE6">
        <w:rPr>
          <w:iCs/>
          <w:color w:val="000000"/>
          <w:szCs w:val="24"/>
          <w:lang w:eastAsia="en-GB"/>
        </w:rPr>
        <w:t>p</w:t>
      </w:r>
      <w:r w:rsidRPr="00821BE6">
        <w:rPr>
          <w:iCs/>
          <w:color w:val="000000"/>
          <w:szCs w:val="24"/>
          <w:lang w:eastAsia="en-GB"/>
        </w:rPr>
        <w:t>ermission</w:t>
      </w:r>
      <w:r w:rsidR="000806FE" w:rsidRPr="00821BE6">
        <w:rPr>
          <w:iCs/>
          <w:color w:val="000000"/>
          <w:szCs w:val="24"/>
          <w:lang w:eastAsia="en-GB"/>
        </w:rPr>
        <w:t xml:space="preserve"> reference </w:t>
      </w:r>
      <w:r w:rsidR="00960F48" w:rsidRPr="00821BE6">
        <w:rPr>
          <w:iCs/>
          <w:color w:val="000000"/>
          <w:szCs w:val="24"/>
          <w:lang w:eastAsia="en-GB"/>
        </w:rPr>
        <w:t>22/01765/VAR</w:t>
      </w:r>
    </w:p>
    <w:p w14:paraId="4D173D77" w14:textId="6178D046" w:rsidR="00960F48" w:rsidRPr="00821BE6" w:rsidRDefault="00960F48" w:rsidP="0009166D">
      <w:pPr>
        <w:autoSpaceDE w:val="0"/>
        <w:autoSpaceDN w:val="0"/>
        <w:adjustRightInd w:val="0"/>
        <w:snapToGrid w:val="0"/>
        <w:spacing w:line="276" w:lineRule="auto"/>
        <w:ind w:left="720" w:hanging="720"/>
        <w:jc w:val="left"/>
        <w:rPr>
          <w:iCs/>
          <w:color w:val="000000"/>
          <w:szCs w:val="24"/>
          <w:lang w:eastAsia="en-GB"/>
        </w:rPr>
      </w:pPr>
      <w:r w:rsidRPr="00821BE6">
        <w:rPr>
          <w:b/>
          <w:bCs/>
          <w:iCs/>
          <w:color w:val="000000"/>
          <w:szCs w:val="24"/>
          <w:lang w:eastAsia="en-GB"/>
        </w:rPr>
        <w:t>Appendix D:</w:t>
      </w:r>
      <w:r w:rsidRPr="00821BE6">
        <w:rPr>
          <w:iCs/>
          <w:color w:val="000000"/>
          <w:szCs w:val="24"/>
          <w:lang w:eastAsia="en-GB"/>
        </w:rPr>
        <w:t xml:space="preserve"> Approved site layout plan (with red edged site boundary and blue edged highway boundary)</w:t>
      </w:r>
      <w:r w:rsidR="00301B0B" w:rsidRPr="00821BE6">
        <w:rPr>
          <w:iCs/>
          <w:color w:val="000000"/>
          <w:szCs w:val="24"/>
          <w:lang w:eastAsia="en-GB"/>
        </w:rPr>
        <w:t>;</w:t>
      </w:r>
    </w:p>
    <w:p w14:paraId="1EF00687" w14:textId="704FC841" w:rsidR="00B33B58" w:rsidRDefault="00B33B58" w:rsidP="0009166D">
      <w:pPr>
        <w:autoSpaceDE w:val="0"/>
        <w:autoSpaceDN w:val="0"/>
        <w:adjustRightInd w:val="0"/>
        <w:snapToGrid w:val="0"/>
        <w:spacing w:line="276" w:lineRule="auto"/>
        <w:ind w:left="720" w:hanging="720"/>
        <w:jc w:val="left"/>
        <w:rPr>
          <w:iCs/>
          <w:color w:val="000000"/>
          <w:szCs w:val="24"/>
          <w:lang w:eastAsia="en-GB"/>
        </w:rPr>
      </w:pPr>
      <w:r w:rsidRPr="00821BE6">
        <w:rPr>
          <w:b/>
          <w:bCs/>
          <w:iCs/>
          <w:color w:val="000000"/>
          <w:szCs w:val="24"/>
          <w:lang w:eastAsia="en-GB"/>
        </w:rPr>
        <w:t xml:space="preserve">Appendix </w:t>
      </w:r>
      <w:r w:rsidR="00D1745E" w:rsidRPr="00821BE6">
        <w:rPr>
          <w:b/>
          <w:bCs/>
          <w:iCs/>
          <w:color w:val="000000"/>
          <w:szCs w:val="24"/>
          <w:lang w:eastAsia="en-GB"/>
        </w:rPr>
        <w:t>E</w:t>
      </w:r>
      <w:r w:rsidR="009A5776" w:rsidRPr="00821BE6">
        <w:rPr>
          <w:b/>
          <w:bCs/>
          <w:iCs/>
          <w:color w:val="000000"/>
          <w:szCs w:val="24"/>
          <w:lang w:eastAsia="en-GB"/>
        </w:rPr>
        <w:t>:</w:t>
      </w:r>
      <w:r w:rsidRPr="00821BE6">
        <w:rPr>
          <w:iCs/>
          <w:color w:val="000000"/>
          <w:szCs w:val="24"/>
          <w:lang w:eastAsia="en-GB"/>
        </w:rPr>
        <w:t xml:space="preserve"> Stopping Up Plan </w:t>
      </w:r>
      <w:r w:rsidR="00992130" w:rsidRPr="00821BE6">
        <w:rPr>
          <w:iCs/>
          <w:color w:val="000000"/>
          <w:szCs w:val="24"/>
          <w:lang w:eastAsia="en-GB"/>
        </w:rPr>
        <w:t xml:space="preserve">(highways stopping up boundary </w:t>
      </w:r>
      <w:r w:rsidR="00301B0B" w:rsidRPr="00821BE6">
        <w:rPr>
          <w:iCs/>
          <w:color w:val="000000"/>
          <w:szCs w:val="24"/>
          <w:lang w:eastAsia="en-GB"/>
        </w:rPr>
        <w:t>shown hatched black)</w:t>
      </w:r>
      <w:r w:rsidR="001C407A">
        <w:rPr>
          <w:iCs/>
          <w:color w:val="000000"/>
          <w:szCs w:val="24"/>
          <w:lang w:eastAsia="en-GB"/>
        </w:rPr>
        <w:t xml:space="preserve"> (which, is A3 based on OS, and drawn to a scale of 1:500)</w:t>
      </w:r>
      <w:r w:rsidR="00BA44F8">
        <w:rPr>
          <w:iCs/>
          <w:color w:val="000000"/>
          <w:szCs w:val="24"/>
          <w:lang w:eastAsia="en-GB"/>
        </w:rPr>
        <w:t>;</w:t>
      </w:r>
      <w:r w:rsidR="00992130">
        <w:rPr>
          <w:iCs/>
          <w:color w:val="000000"/>
          <w:szCs w:val="24"/>
          <w:lang w:eastAsia="en-GB"/>
        </w:rPr>
        <w:t xml:space="preserve"> </w:t>
      </w:r>
    </w:p>
    <w:p w14:paraId="27A0FB6C" w14:textId="3B5A5C3E" w:rsidR="00D1745E" w:rsidRPr="00D1745E" w:rsidRDefault="00D1745E" w:rsidP="0009166D">
      <w:pPr>
        <w:autoSpaceDE w:val="0"/>
        <w:autoSpaceDN w:val="0"/>
        <w:adjustRightInd w:val="0"/>
        <w:snapToGrid w:val="0"/>
        <w:spacing w:line="276" w:lineRule="auto"/>
        <w:ind w:left="720" w:hanging="720"/>
        <w:jc w:val="left"/>
      </w:pPr>
      <w:r>
        <w:rPr>
          <w:b/>
          <w:bCs/>
          <w:iCs/>
          <w:color w:val="000000"/>
          <w:szCs w:val="24"/>
          <w:lang w:eastAsia="en-GB"/>
        </w:rPr>
        <w:t xml:space="preserve">Appendix </w:t>
      </w:r>
      <w:r w:rsidR="009A5776">
        <w:rPr>
          <w:b/>
          <w:bCs/>
          <w:iCs/>
          <w:color w:val="000000"/>
          <w:szCs w:val="24"/>
          <w:lang w:eastAsia="en-GB"/>
        </w:rPr>
        <w:t>F</w:t>
      </w:r>
      <w:r>
        <w:rPr>
          <w:b/>
          <w:bCs/>
          <w:iCs/>
          <w:color w:val="000000"/>
          <w:szCs w:val="24"/>
          <w:lang w:eastAsia="en-GB"/>
        </w:rPr>
        <w:t xml:space="preserve">: </w:t>
      </w:r>
      <w:r w:rsidR="00301B0B">
        <w:t xml:space="preserve">Landscape Plan; </w:t>
      </w:r>
    </w:p>
    <w:p w14:paraId="0F038F8E" w14:textId="0324B28A" w:rsidR="00D1745E" w:rsidRDefault="00D1745E" w:rsidP="0009166D">
      <w:pPr>
        <w:autoSpaceDE w:val="0"/>
        <w:autoSpaceDN w:val="0"/>
        <w:adjustRightInd w:val="0"/>
        <w:snapToGrid w:val="0"/>
        <w:spacing w:line="276" w:lineRule="auto"/>
        <w:ind w:left="720" w:hanging="720"/>
        <w:jc w:val="left"/>
        <w:rPr>
          <w:iCs/>
          <w:color w:val="000000"/>
          <w:szCs w:val="24"/>
          <w:lang w:eastAsia="en-GB"/>
        </w:rPr>
      </w:pPr>
      <w:r>
        <w:rPr>
          <w:b/>
          <w:bCs/>
          <w:iCs/>
          <w:color w:val="000000"/>
          <w:szCs w:val="24"/>
          <w:lang w:eastAsia="en-GB"/>
        </w:rPr>
        <w:t xml:space="preserve">Appendix G: </w:t>
      </w:r>
      <w:r w:rsidR="00301B0B">
        <w:rPr>
          <w:iCs/>
          <w:color w:val="000000"/>
          <w:szCs w:val="24"/>
          <w:lang w:eastAsia="en-GB"/>
        </w:rPr>
        <w:t>Masterplan</w:t>
      </w:r>
      <w:r w:rsidR="00BA44F8">
        <w:rPr>
          <w:iCs/>
          <w:color w:val="000000"/>
          <w:szCs w:val="24"/>
          <w:lang w:eastAsia="en-GB"/>
        </w:rPr>
        <w:t>; and</w:t>
      </w:r>
    </w:p>
    <w:p w14:paraId="61E5395A" w14:textId="31E200F8" w:rsidR="00816452" w:rsidRDefault="00816452" w:rsidP="0009166D">
      <w:pPr>
        <w:autoSpaceDE w:val="0"/>
        <w:autoSpaceDN w:val="0"/>
        <w:adjustRightInd w:val="0"/>
        <w:snapToGrid w:val="0"/>
        <w:spacing w:line="276" w:lineRule="auto"/>
        <w:ind w:left="720" w:hanging="720"/>
        <w:jc w:val="left"/>
        <w:rPr>
          <w:iCs/>
          <w:color w:val="000000"/>
          <w:szCs w:val="24"/>
          <w:lang w:eastAsia="en-GB"/>
        </w:rPr>
      </w:pPr>
      <w:r>
        <w:rPr>
          <w:b/>
          <w:bCs/>
          <w:iCs/>
          <w:color w:val="000000"/>
          <w:szCs w:val="24"/>
          <w:lang w:eastAsia="en-GB"/>
        </w:rPr>
        <w:t>Appendix H:</w:t>
      </w:r>
      <w:r>
        <w:rPr>
          <w:szCs w:val="24"/>
          <w:lang w:eastAsia="en-GB"/>
        </w:rPr>
        <w:t xml:space="preserve"> Site Plan</w:t>
      </w:r>
      <w:r w:rsidR="00BA44F8">
        <w:rPr>
          <w:szCs w:val="24"/>
          <w:lang w:eastAsia="en-GB"/>
        </w:rPr>
        <w:t>.</w:t>
      </w:r>
    </w:p>
    <w:sectPr w:rsidR="00816452" w:rsidSect="004F677B">
      <w:footerReference w:type="default" r:id="rId7"/>
      <w:type w:val="continuous"/>
      <w:pgSz w:w="11906" w:h="16838" w:code="9"/>
      <w:pgMar w:top="1418" w:right="1418" w:bottom="1418" w:left="1304" w:header="720" w:footer="869"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D619" w14:textId="77777777" w:rsidR="00970472" w:rsidRDefault="00970472">
      <w:r>
        <w:separator/>
      </w:r>
    </w:p>
  </w:endnote>
  <w:endnote w:type="continuationSeparator" w:id="0">
    <w:p w14:paraId="6B885696" w14:textId="77777777" w:rsidR="00970472" w:rsidRDefault="0097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7ACB" w14:textId="77777777" w:rsidR="00962B6A" w:rsidRDefault="00962B6A">
    <w:pPr>
      <w:pStyle w:val="Footer"/>
      <w:framePr w:wrap="around" w:vAnchor="text" w:hAnchor="page" w:x="6049" w:y="241"/>
      <w:rPr>
        <w:rStyle w:val="PageNumber"/>
      </w:rPr>
    </w:pPr>
  </w:p>
  <w:p w14:paraId="157BABD2" w14:textId="05A8FB61" w:rsidR="00962B6A" w:rsidRPr="00601E8C" w:rsidRDefault="00962B6A" w:rsidP="00601E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ED9A" w14:textId="77777777" w:rsidR="00970472" w:rsidRDefault="00970472">
      <w:r>
        <w:separator/>
      </w:r>
    </w:p>
  </w:footnote>
  <w:footnote w:type="continuationSeparator" w:id="0">
    <w:p w14:paraId="411A92BD" w14:textId="77777777" w:rsidR="00970472" w:rsidRDefault="00970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68BB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522D2"/>
    <w:multiLevelType w:val="singleLevel"/>
    <w:tmpl w:val="0A246CC0"/>
    <w:lvl w:ilvl="0">
      <w:start w:val="1"/>
      <w:numFmt w:val="decimal"/>
      <w:lvlText w:val="(%1)"/>
      <w:legacy w:legacy="1" w:legacySpace="0" w:legacyIndent="720"/>
      <w:lvlJc w:val="left"/>
      <w:pPr>
        <w:ind w:left="720" w:hanging="720"/>
      </w:pPr>
    </w:lvl>
  </w:abstractNum>
  <w:abstractNum w:abstractNumId="2" w15:restartNumberingAfterBreak="0">
    <w:nsid w:val="0A714030"/>
    <w:multiLevelType w:val="multilevel"/>
    <w:tmpl w:val="AC0A67D0"/>
    <w:lvl w:ilvl="0">
      <w:start w:val="1"/>
      <w:numFmt w:val="decimal"/>
      <w:pStyle w:val="Heading1"/>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D21CDE"/>
    <w:multiLevelType w:val="singleLevel"/>
    <w:tmpl w:val="7E2AA2A0"/>
    <w:lvl w:ilvl="0">
      <w:start w:val="1"/>
      <w:numFmt w:val="upperLetter"/>
      <w:lvlText w:val="(%1)"/>
      <w:legacy w:legacy="1" w:legacySpace="0" w:legacyIndent="720"/>
      <w:lvlJc w:val="left"/>
      <w:pPr>
        <w:ind w:left="720" w:hanging="720"/>
      </w:pPr>
    </w:lvl>
  </w:abstractNum>
  <w:abstractNum w:abstractNumId="4" w15:restartNumberingAfterBreak="0">
    <w:nsid w:val="2A5C3939"/>
    <w:multiLevelType w:val="singleLevel"/>
    <w:tmpl w:val="0A246CC0"/>
    <w:lvl w:ilvl="0">
      <w:start w:val="1"/>
      <w:numFmt w:val="decimal"/>
      <w:lvlText w:val="(%1)"/>
      <w:legacy w:legacy="1" w:legacySpace="0" w:legacyIndent="720"/>
      <w:lvlJc w:val="left"/>
      <w:pPr>
        <w:ind w:left="720" w:hanging="720"/>
      </w:pPr>
    </w:lvl>
  </w:abstractNum>
  <w:abstractNum w:abstractNumId="5" w15:restartNumberingAfterBreak="0">
    <w:nsid w:val="30A026A6"/>
    <w:multiLevelType w:val="singleLevel"/>
    <w:tmpl w:val="DF0A1616"/>
    <w:lvl w:ilvl="0">
      <w:start w:val="1"/>
      <w:numFmt w:val="lowerLetter"/>
      <w:lvlText w:val="(%1)"/>
      <w:legacy w:legacy="1" w:legacySpace="0" w:legacyIndent="720"/>
      <w:lvlJc w:val="left"/>
      <w:pPr>
        <w:ind w:left="1440" w:hanging="720"/>
      </w:pPr>
    </w:lvl>
  </w:abstractNum>
  <w:abstractNum w:abstractNumId="6" w15:restartNumberingAfterBreak="0">
    <w:nsid w:val="32E66D11"/>
    <w:multiLevelType w:val="singleLevel"/>
    <w:tmpl w:val="DF0A1616"/>
    <w:lvl w:ilvl="0">
      <w:start w:val="1"/>
      <w:numFmt w:val="lowerLetter"/>
      <w:lvlText w:val="(%1)"/>
      <w:legacy w:legacy="1" w:legacySpace="0" w:legacyIndent="720"/>
      <w:lvlJc w:val="left"/>
      <w:pPr>
        <w:ind w:left="1440" w:hanging="720"/>
      </w:pPr>
    </w:lvl>
  </w:abstractNum>
  <w:abstractNum w:abstractNumId="7" w15:restartNumberingAfterBreak="0">
    <w:nsid w:val="374348DE"/>
    <w:multiLevelType w:val="singleLevel"/>
    <w:tmpl w:val="7E2AA2A0"/>
    <w:lvl w:ilvl="0">
      <w:start w:val="1"/>
      <w:numFmt w:val="upperLetter"/>
      <w:lvlText w:val="(%1)"/>
      <w:legacy w:legacy="1" w:legacySpace="0" w:legacyIndent="720"/>
      <w:lvlJc w:val="left"/>
      <w:pPr>
        <w:ind w:left="720" w:hanging="720"/>
      </w:pPr>
    </w:lvl>
  </w:abstractNum>
  <w:abstractNum w:abstractNumId="8" w15:restartNumberingAfterBreak="0">
    <w:nsid w:val="37B027F8"/>
    <w:multiLevelType w:val="singleLevel"/>
    <w:tmpl w:val="7E2AA2A0"/>
    <w:lvl w:ilvl="0">
      <w:start w:val="1"/>
      <w:numFmt w:val="upperLetter"/>
      <w:lvlText w:val="(%1)"/>
      <w:legacy w:legacy="1" w:legacySpace="0" w:legacyIndent="720"/>
      <w:lvlJc w:val="left"/>
      <w:pPr>
        <w:ind w:left="720" w:hanging="720"/>
      </w:pPr>
    </w:lvl>
  </w:abstractNum>
  <w:abstractNum w:abstractNumId="9" w15:restartNumberingAfterBreak="0">
    <w:nsid w:val="388C00B1"/>
    <w:multiLevelType w:val="singleLevel"/>
    <w:tmpl w:val="7E2AA2A0"/>
    <w:lvl w:ilvl="0">
      <w:start w:val="1"/>
      <w:numFmt w:val="upperLetter"/>
      <w:lvlText w:val="(%1)"/>
      <w:legacy w:legacy="1" w:legacySpace="0" w:legacyIndent="720"/>
      <w:lvlJc w:val="left"/>
      <w:pPr>
        <w:ind w:left="720" w:hanging="720"/>
      </w:pPr>
    </w:lvl>
  </w:abstractNum>
  <w:abstractNum w:abstractNumId="10" w15:restartNumberingAfterBreak="0">
    <w:nsid w:val="38A42F68"/>
    <w:multiLevelType w:val="singleLevel"/>
    <w:tmpl w:val="7E2AA2A0"/>
    <w:lvl w:ilvl="0">
      <w:start w:val="1"/>
      <w:numFmt w:val="upperLetter"/>
      <w:lvlText w:val="(%1)"/>
      <w:legacy w:legacy="1" w:legacySpace="0" w:legacyIndent="720"/>
      <w:lvlJc w:val="left"/>
      <w:pPr>
        <w:ind w:left="720" w:hanging="720"/>
      </w:pPr>
    </w:lvl>
  </w:abstractNum>
  <w:abstractNum w:abstractNumId="11" w15:restartNumberingAfterBreak="0">
    <w:nsid w:val="39D3033D"/>
    <w:multiLevelType w:val="singleLevel"/>
    <w:tmpl w:val="DF0A1616"/>
    <w:lvl w:ilvl="0">
      <w:start w:val="1"/>
      <w:numFmt w:val="lowerLetter"/>
      <w:lvlText w:val="(%1)"/>
      <w:legacy w:legacy="1" w:legacySpace="0" w:legacyIndent="720"/>
      <w:lvlJc w:val="left"/>
      <w:pPr>
        <w:ind w:left="1440" w:hanging="720"/>
      </w:pPr>
    </w:lvl>
  </w:abstractNum>
  <w:abstractNum w:abstractNumId="12" w15:restartNumberingAfterBreak="0">
    <w:nsid w:val="4162107D"/>
    <w:multiLevelType w:val="singleLevel"/>
    <w:tmpl w:val="7E2AA2A0"/>
    <w:lvl w:ilvl="0">
      <w:start w:val="1"/>
      <w:numFmt w:val="upperLetter"/>
      <w:lvlText w:val="(%1)"/>
      <w:legacy w:legacy="1" w:legacySpace="0" w:legacyIndent="720"/>
      <w:lvlJc w:val="left"/>
      <w:pPr>
        <w:ind w:left="720" w:hanging="720"/>
      </w:pPr>
    </w:lvl>
  </w:abstractNum>
  <w:abstractNum w:abstractNumId="13" w15:restartNumberingAfterBreak="0">
    <w:nsid w:val="43316B86"/>
    <w:multiLevelType w:val="singleLevel"/>
    <w:tmpl w:val="0A246CC0"/>
    <w:lvl w:ilvl="0">
      <w:start w:val="1"/>
      <w:numFmt w:val="decimal"/>
      <w:lvlText w:val="(%1)"/>
      <w:legacy w:legacy="1" w:legacySpace="0" w:legacyIndent="720"/>
      <w:lvlJc w:val="left"/>
      <w:pPr>
        <w:ind w:left="720" w:hanging="720"/>
      </w:pPr>
    </w:lvl>
  </w:abstractNum>
  <w:abstractNum w:abstractNumId="14" w15:restartNumberingAfterBreak="0">
    <w:nsid w:val="4F041C77"/>
    <w:multiLevelType w:val="singleLevel"/>
    <w:tmpl w:val="0A246CC0"/>
    <w:lvl w:ilvl="0">
      <w:start w:val="1"/>
      <w:numFmt w:val="decimal"/>
      <w:lvlText w:val="(%1)"/>
      <w:legacy w:legacy="1" w:legacySpace="0" w:legacyIndent="720"/>
      <w:lvlJc w:val="left"/>
      <w:pPr>
        <w:ind w:left="720" w:hanging="720"/>
      </w:pPr>
    </w:lvl>
  </w:abstractNum>
  <w:abstractNum w:abstractNumId="15" w15:restartNumberingAfterBreak="0">
    <w:nsid w:val="4F327A10"/>
    <w:multiLevelType w:val="singleLevel"/>
    <w:tmpl w:val="0A246CC0"/>
    <w:lvl w:ilvl="0">
      <w:start w:val="1"/>
      <w:numFmt w:val="decimal"/>
      <w:lvlText w:val="(%1)"/>
      <w:legacy w:legacy="1" w:legacySpace="0" w:legacyIndent="720"/>
      <w:lvlJc w:val="left"/>
      <w:pPr>
        <w:ind w:left="720" w:hanging="720"/>
      </w:pPr>
    </w:lvl>
  </w:abstractNum>
  <w:abstractNum w:abstractNumId="16"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41119F2"/>
    <w:multiLevelType w:val="singleLevel"/>
    <w:tmpl w:val="0A246CC0"/>
    <w:lvl w:ilvl="0">
      <w:start w:val="1"/>
      <w:numFmt w:val="decimal"/>
      <w:lvlText w:val="(%1)"/>
      <w:legacy w:legacy="1" w:legacySpace="0" w:legacyIndent="720"/>
      <w:lvlJc w:val="left"/>
      <w:pPr>
        <w:ind w:left="720" w:hanging="720"/>
      </w:pPr>
    </w:lvl>
  </w:abstractNum>
  <w:abstractNum w:abstractNumId="18" w15:restartNumberingAfterBreak="0">
    <w:nsid w:val="66D710D6"/>
    <w:multiLevelType w:val="multilevel"/>
    <w:tmpl w:val="58D2DEB4"/>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7E20B97"/>
    <w:multiLevelType w:val="singleLevel"/>
    <w:tmpl w:val="DF0A1616"/>
    <w:lvl w:ilvl="0">
      <w:start w:val="1"/>
      <w:numFmt w:val="lowerLetter"/>
      <w:lvlText w:val="(%1)"/>
      <w:legacy w:legacy="1" w:legacySpace="0" w:legacyIndent="720"/>
      <w:lvlJc w:val="left"/>
      <w:pPr>
        <w:ind w:left="1440" w:hanging="720"/>
      </w:pPr>
    </w:lvl>
  </w:abstractNum>
  <w:abstractNum w:abstractNumId="20" w15:restartNumberingAfterBreak="0">
    <w:nsid w:val="6BA43DC8"/>
    <w:multiLevelType w:val="singleLevel"/>
    <w:tmpl w:val="7E2AA2A0"/>
    <w:lvl w:ilvl="0">
      <w:start w:val="1"/>
      <w:numFmt w:val="upperLetter"/>
      <w:lvlText w:val="(%1)"/>
      <w:legacy w:legacy="1" w:legacySpace="0" w:legacyIndent="720"/>
      <w:lvlJc w:val="left"/>
      <w:pPr>
        <w:ind w:left="720" w:hanging="720"/>
      </w:pPr>
    </w:lvl>
  </w:abstractNum>
  <w:abstractNum w:abstractNumId="21" w15:restartNumberingAfterBreak="0">
    <w:nsid w:val="6E1277C1"/>
    <w:multiLevelType w:val="singleLevel"/>
    <w:tmpl w:val="DF0A1616"/>
    <w:lvl w:ilvl="0">
      <w:start w:val="1"/>
      <w:numFmt w:val="lowerLetter"/>
      <w:lvlText w:val="(%1)"/>
      <w:legacy w:legacy="1" w:legacySpace="0" w:legacyIndent="720"/>
      <w:lvlJc w:val="left"/>
      <w:pPr>
        <w:ind w:left="1440" w:hanging="720"/>
      </w:pPr>
    </w:lvl>
  </w:abstractNum>
  <w:abstractNum w:abstractNumId="22" w15:restartNumberingAfterBreak="0">
    <w:nsid w:val="78E375A9"/>
    <w:multiLevelType w:val="singleLevel"/>
    <w:tmpl w:val="0A246CC0"/>
    <w:lvl w:ilvl="0">
      <w:start w:val="1"/>
      <w:numFmt w:val="decimal"/>
      <w:lvlText w:val="(%1)"/>
      <w:legacy w:legacy="1" w:legacySpace="0" w:legacyIndent="720"/>
      <w:lvlJc w:val="left"/>
      <w:pPr>
        <w:ind w:left="720" w:hanging="720"/>
      </w:pPr>
    </w:lvl>
  </w:abstractNum>
  <w:abstractNum w:abstractNumId="23" w15:restartNumberingAfterBreak="0">
    <w:nsid w:val="797426BE"/>
    <w:multiLevelType w:val="singleLevel"/>
    <w:tmpl w:val="0A246CC0"/>
    <w:lvl w:ilvl="0">
      <w:start w:val="1"/>
      <w:numFmt w:val="decimal"/>
      <w:lvlText w:val="(%1)"/>
      <w:legacy w:legacy="1" w:legacySpace="0" w:legacyIndent="720"/>
      <w:lvlJc w:val="left"/>
      <w:pPr>
        <w:ind w:left="720" w:hanging="720"/>
      </w:pPr>
    </w:lvl>
  </w:abstractNum>
  <w:abstractNum w:abstractNumId="24" w15:restartNumberingAfterBreak="0">
    <w:nsid w:val="7F280017"/>
    <w:multiLevelType w:val="singleLevel"/>
    <w:tmpl w:val="7E2AA2A0"/>
    <w:lvl w:ilvl="0">
      <w:start w:val="1"/>
      <w:numFmt w:val="upperLetter"/>
      <w:lvlText w:val="(%1)"/>
      <w:legacy w:legacy="1" w:legacySpace="0" w:legacyIndent="720"/>
      <w:lvlJc w:val="left"/>
      <w:pPr>
        <w:ind w:left="720" w:hanging="720"/>
      </w:pPr>
    </w:lvl>
  </w:abstractNum>
  <w:num w:numId="1" w16cid:durableId="2081244344">
    <w:abstractNumId w:val="16"/>
  </w:num>
  <w:num w:numId="2" w16cid:durableId="1701852674">
    <w:abstractNumId w:val="18"/>
  </w:num>
  <w:num w:numId="3" w16cid:durableId="2060473054">
    <w:abstractNumId w:val="2"/>
  </w:num>
  <w:num w:numId="4" w16cid:durableId="1414205121">
    <w:abstractNumId w:val="1"/>
  </w:num>
  <w:num w:numId="5" w16cid:durableId="909147118">
    <w:abstractNumId w:val="9"/>
  </w:num>
  <w:num w:numId="6" w16cid:durableId="864440203">
    <w:abstractNumId w:val="5"/>
  </w:num>
  <w:num w:numId="7" w16cid:durableId="1653294481">
    <w:abstractNumId w:val="19"/>
  </w:num>
  <w:num w:numId="8" w16cid:durableId="1539124386">
    <w:abstractNumId w:val="21"/>
  </w:num>
  <w:num w:numId="9" w16cid:durableId="1756048254">
    <w:abstractNumId w:val="15"/>
  </w:num>
  <w:num w:numId="10" w16cid:durableId="1803814820">
    <w:abstractNumId w:val="8"/>
  </w:num>
  <w:num w:numId="11" w16cid:durableId="518661954">
    <w:abstractNumId w:val="0"/>
  </w:num>
  <w:num w:numId="12" w16cid:durableId="2005235448">
    <w:abstractNumId w:val="23"/>
  </w:num>
  <w:num w:numId="13" w16cid:durableId="1685814879">
    <w:abstractNumId w:val="22"/>
  </w:num>
  <w:num w:numId="14" w16cid:durableId="1947930921">
    <w:abstractNumId w:val="17"/>
  </w:num>
  <w:num w:numId="15" w16cid:durableId="1902211708">
    <w:abstractNumId w:val="13"/>
  </w:num>
  <w:num w:numId="16" w16cid:durableId="813369594">
    <w:abstractNumId w:val="4"/>
  </w:num>
  <w:num w:numId="17" w16cid:durableId="1346324715">
    <w:abstractNumId w:val="14"/>
  </w:num>
  <w:num w:numId="18" w16cid:durableId="2124961907">
    <w:abstractNumId w:val="3"/>
  </w:num>
  <w:num w:numId="19" w16cid:durableId="2013099727">
    <w:abstractNumId w:val="10"/>
  </w:num>
  <w:num w:numId="20" w16cid:durableId="902563031">
    <w:abstractNumId w:val="20"/>
  </w:num>
  <w:num w:numId="21" w16cid:durableId="141433880">
    <w:abstractNumId w:val="7"/>
  </w:num>
  <w:num w:numId="22" w16cid:durableId="922765231">
    <w:abstractNumId w:val="24"/>
  </w:num>
  <w:num w:numId="23" w16cid:durableId="1207527501">
    <w:abstractNumId w:val="12"/>
  </w:num>
  <w:num w:numId="24" w16cid:durableId="52320160">
    <w:abstractNumId w:val="11"/>
  </w:num>
  <w:num w:numId="25" w16cid:durableId="312493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ocument.dot"/>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72219D"/>
    <w:rsid w:val="000213AF"/>
    <w:rsid w:val="0002238A"/>
    <w:rsid w:val="0002272C"/>
    <w:rsid w:val="00025075"/>
    <w:rsid w:val="000666DF"/>
    <w:rsid w:val="000806FE"/>
    <w:rsid w:val="0009166D"/>
    <w:rsid w:val="000D3ADF"/>
    <w:rsid w:val="000D52B3"/>
    <w:rsid w:val="00115947"/>
    <w:rsid w:val="00136571"/>
    <w:rsid w:val="001408E2"/>
    <w:rsid w:val="001473BA"/>
    <w:rsid w:val="00156CDF"/>
    <w:rsid w:val="00175D2E"/>
    <w:rsid w:val="00184FF9"/>
    <w:rsid w:val="001B48F8"/>
    <w:rsid w:val="001C407A"/>
    <w:rsid w:val="001D4092"/>
    <w:rsid w:val="001E14C3"/>
    <w:rsid w:val="001E6401"/>
    <w:rsid w:val="001F4A53"/>
    <w:rsid w:val="00205C7E"/>
    <w:rsid w:val="00210871"/>
    <w:rsid w:val="0022040A"/>
    <w:rsid w:val="00233814"/>
    <w:rsid w:val="002D188F"/>
    <w:rsid w:val="002E4D35"/>
    <w:rsid w:val="002E642E"/>
    <w:rsid w:val="002F73FE"/>
    <w:rsid w:val="00301B0B"/>
    <w:rsid w:val="003340C8"/>
    <w:rsid w:val="0033775D"/>
    <w:rsid w:val="00360CE4"/>
    <w:rsid w:val="003627B8"/>
    <w:rsid w:val="00367F75"/>
    <w:rsid w:val="00374CF4"/>
    <w:rsid w:val="0038573B"/>
    <w:rsid w:val="00385F27"/>
    <w:rsid w:val="003900AB"/>
    <w:rsid w:val="003C046F"/>
    <w:rsid w:val="003D3FC7"/>
    <w:rsid w:val="003E5C51"/>
    <w:rsid w:val="003F7DEB"/>
    <w:rsid w:val="00400C3C"/>
    <w:rsid w:val="00451FE1"/>
    <w:rsid w:val="0045419C"/>
    <w:rsid w:val="004576DE"/>
    <w:rsid w:val="004608EC"/>
    <w:rsid w:val="00466F7E"/>
    <w:rsid w:val="004771F2"/>
    <w:rsid w:val="004840B2"/>
    <w:rsid w:val="004B0C8A"/>
    <w:rsid w:val="004B74C5"/>
    <w:rsid w:val="004D1D5E"/>
    <w:rsid w:val="004D3415"/>
    <w:rsid w:val="004F677B"/>
    <w:rsid w:val="004F7160"/>
    <w:rsid w:val="00506ECE"/>
    <w:rsid w:val="0051197C"/>
    <w:rsid w:val="005319DD"/>
    <w:rsid w:val="005323BF"/>
    <w:rsid w:val="005432C0"/>
    <w:rsid w:val="00576DA5"/>
    <w:rsid w:val="00594C86"/>
    <w:rsid w:val="005A600C"/>
    <w:rsid w:val="005D14DB"/>
    <w:rsid w:val="005E29AD"/>
    <w:rsid w:val="00600197"/>
    <w:rsid w:val="00601E8C"/>
    <w:rsid w:val="00607BFA"/>
    <w:rsid w:val="00622C4B"/>
    <w:rsid w:val="00670624"/>
    <w:rsid w:val="00680703"/>
    <w:rsid w:val="00686A28"/>
    <w:rsid w:val="006A296E"/>
    <w:rsid w:val="006F2CDB"/>
    <w:rsid w:val="00714A33"/>
    <w:rsid w:val="0072219D"/>
    <w:rsid w:val="00724067"/>
    <w:rsid w:val="00740FD0"/>
    <w:rsid w:val="00745AC9"/>
    <w:rsid w:val="00760EC5"/>
    <w:rsid w:val="00781297"/>
    <w:rsid w:val="00791427"/>
    <w:rsid w:val="007A1DDF"/>
    <w:rsid w:val="007A5F2B"/>
    <w:rsid w:val="007B5496"/>
    <w:rsid w:val="007C6295"/>
    <w:rsid w:val="007F7186"/>
    <w:rsid w:val="00802A6C"/>
    <w:rsid w:val="00804CD0"/>
    <w:rsid w:val="00816452"/>
    <w:rsid w:val="00821BE6"/>
    <w:rsid w:val="008534A8"/>
    <w:rsid w:val="008908AC"/>
    <w:rsid w:val="00894C41"/>
    <w:rsid w:val="008C0121"/>
    <w:rsid w:val="008C34A6"/>
    <w:rsid w:val="008D3BC9"/>
    <w:rsid w:val="008E74EE"/>
    <w:rsid w:val="008E7FF4"/>
    <w:rsid w:val="009017D3"/>
    <w:rsid w:val="00931A57"/>
    <w:rsid w:val="009467E3"/>
    <w:rsid w:val="00957B8F"/>
    <w:rsid w:val="00960F48"/>
    <w:rsid w:val="00962B6A"/>
    <w:rsid w:val="00966257"/>
    <w:rsid w:val="00970472"/>
    <w:rsid w:val="009829CF"/>
    <w:rsid w:val="00992130"/>
    <w:rsid w:val="00993D16"/>
    <w:rsid w:val="009A5776"/>
    <w:rsid w:val="009D5052"/>
    <w:rsid w:val="009E5A8F"/>
    <w:rsid w:val="009F325A"/>
    <w:rsid w:val="00A12C6F"/>
    <w:rsid w:val="00A27FE0"/>
    <w:rsid w:val="00A57DC7"/>
    <w:rsid w:val="00A83C09"/>
    <w:rsid w:val="00A951A6"/>
    <w:rsid w:val="00AB4496"/>
    <w:rsid w:val="00AB52FA"/>
    <w:rsid w:val="00AD0EA0"/>
    <w:rsid w:val="00AE728C"/>
    <w:rsid w:val="00B06485"/>
    <w:rsid w:val="00B33B58"/>
    <w:rsid w:val="00B35589"/>
    <w:rsid w:val="00B7377B"/>
    <w:rsid w:val="00B80CD0"/>
    <w:rsid w:val="00BA44F8"/>
    <w:rsid w:val="00BC5F8F"/>
    <w:rsid w:val="00BC6E63"/>
    <w:rsid w:val="00BD56A4"/>
    <w:rsid w:val="00BE022A"/>
    <w:rsid w:val="00BF4E05"/>
    <w:rsid w:val="00C14CE2"/>
    <w:rsid w:val="00C169B3"/>
    <w:rsid w:val="00C1788C"/>
    <w:rsid w:val="00C3099D"/>
    <w:rsid w:val="00C36599"/>
    <w:rsid w:val="00C41394"/>
    <w:rsid w:val="00C43BB6"/>
    <w:rsid w:val="00C4674F"/>
    <w:rsid w:val="00C51133"/>
    <w:rsid w:val="00C63009"/>
    <w:rsid w:val="00C63225"/>
    <w:rsid w:val="00CA0FB8"/>
    <w:rsid w:val="00CA504B"/>
    <w:rsid w:val="00D1745E"/>
    <w:rsid w:val="00D665D6"/>
    <w:rsid w:val="00DD53AD"/>
    <w:rsid w:val="00DD6384"/>
    <w:rsid w:val="00E03DDA"/>
    <w:rsid w:val="00E21E37"/>
    <w:rsid w:val="00E23920"/>
    <w:rsid w:val="00E2451F"/>
    <w:rsid w:val="00E674A3"/>
    <w:rsid w:val="00EC69E7"/>
    <w:rsid w:val="00F72CAB"/>
    <w:rsid w:val="00F9600F"/>
    <w:rsid w:val="00FC28B2"/>
    <w:rsid w:val="00FC5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7DFFE"/>
  <w15:docId w15:val="{5FB0F7F8-04DC-4BDD-BE0F-68064601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3C"/>
    <w:pPr>
      <w:jc w:val="both"/>
    </w:pPr>
    <w:rPr>
      <w:sz w:val="22"/>
      <w:lang w:eastAsia="en-US"/>
    </w:rPr>
  </w:style>
  <w:style w:type="paragraph" w:styleId="Heading1">
    <w:name w:val="heading 1"/>
    <w:basedOn w:val="Normal"/>
    <w:next w:val="Heading2"/>
    <w:qFormat/>
    <w:rsid w:val="004F677B"/>
    <w:pPr>
      <w:keepNext/>
      <w:numPr>
        <w:numId w:val="3"/>
      </w:numPr>
      <w:spacing w:after="240"/>
      <w:outlineLvl w:val="0"/>
    </w:pPr>
    <w:rPr>
      <w:b/>
      <w:caps/>
      <w:kern w:val="28"/>
    </w:rPr>
  </w:style>
  <w:style w:type="paragraph" w:styleId="Heading2">
    <w:name w:val="heading 2"/>
    <w:basedOn w:val="Normal"/>
    <w:qFormat/>
    <w:rsid w:val="004F677B"/>
    <w:pPr>
      <w:keepLines/>
      <w:numPr>
        <w:ilvl w:val="1"/>
        <w:numId w:val="3"/>
      </w:numPr>
      <w:spacing w:after="240"/>
      <w:outlineLvl w:val="1"/>
    </w:pPr>
  </w:style>
  <w:style w:type="paragraph" w:styleId="Heading3">
    <w:name w:val="heading 3"/>
    <w:basedOn w:val="Normal"/>
    <w:qFormat/>
    <w:rsid w:val="004F677B"/>
    <w:pPr>
      <w:keepLines/>
      <w:numPr>
        <w:ilvl w:val="2"/>
        <w:numId w:val="3"/>
      </w:numPr>
      <w:spacing w:after="240"/>
      <w:ind w:left="2269" w:hanging="851"/>
      <w:outlineLvl w:val="2"/>
    </w:pPr>
  </w:style>
  <w:style w:type="paragraph" w:styleId="Heading4">
    <w:name w:val="heading 4"/>
    <w:basedOn w:val="Normal"/>
    <w:qFormat/>
    <w:rsid w:val="004F677B"/>
    <w:pPr>
      <w:keepLines/>
      <w:numPr>
        <w:ilvl w:val="3"/>
        <w:numId w:val="3"/>
      </w:numPr>
      <w:tabs>
        <w:tab w:val="clear" w:pos="3119"/>
        <w:tab w:val="left" w:pos="2835"/>
      </w:tabs>
      <w:spacing w:after="240"/>
      <w:ind w:left="2835"/>
      <w:outlineLvl w:val="3"/>
    </w:pPr>
  </w:style>
  <w:style w:type="paragraph" w:styleId="Heading5">
    <w:name w:val="heading 5"/>
    <w:basedOn w:val="Normal"/>
    <w:qFormat/>
    <w:rsid w:val="004F677B"/>
    <w:pPr>
      <w:keepLines/>
      <w:numPr>
        <w:ilvl w:val="4"/>
        <w:numId w:val="3"/>
      </w:numPr>
      <w:tabs>
        <w:tab w:val="clear" w:pos="3555"/>
        <w:tab w:val="left" w:pos="3402"/>
      </w:tabs>
      <w:spacing w:after="240"/>
      <w:outlineLvl w:val="4"/>
    </w:pPr>
  </w:style>
  <w:style w:type="paragraph" w:styleId="Heading6">
    <w:name w:val="heading 6"/>
    <w:basedOn w:val="Heading2"/>
    <w:next w:val="Heading2"/>
    <w:qFormat/>
    <w:rsid w:val="004F677B"/>
    <w:pPr>
      <w:keepNext/>
      <w:outlineLvl w:val="5"/>
    </w:pPr>
    <w:rPr>
      <w:b/>
    </w:rPr>
  </w:style>
  <w:style w:type="paragraph" w:styleId="Heading7">
    <w:name w:val="heading 7"/>
    <w:basedOn w:val="Heading1"/>
    <w:qFormat/>
    <w:rsid w:val="004F677B"/>
    <w:pPr>
      <w:outlineLvl w:val="6"/>
    </w:pPr>
    <w:rPr>
      <w:b w:val="0"/>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Numbering">
    <w:name w:val="Definition Numbering"/>
    <w:basedOn w:val="Normal"/>
    <w:rsid w:val="004F677B"/>
    <w:pPr>
      <w:ind w:left="1440" w:hanging="720"/>
    </w:pPr>
  </w:style>
  <w:style w:type="paragraph" w:customStyle="1" w:styleId="prec4">
    <w:name w:val="prec4"/>
    <w:basedOn w:val="Normal"/>
    <w:rsid w:val="004F677B"/>
    <w:pPr>
      <w:numPr>
        <w:ilvl w:val="3"/>
        <w:numId w:val="1"/>
      </w:numPr>
    </w:pPr>
  </w:style>
  <w:style w:type="paragraph" w:customStyle="1" w:styleId="Parties">
    <w:name w:val="Parties"/>
    <w:basedOn w:val="Normal"/>
    <w:rsid w:val="004F677B"/>
    <w:pPr>
      <w:ind w:left="851" w:hanging="851"/>
    </w:pPr>
  </w:style>
  <w:style w:type="paragraph" w:customStyle="1" w:styleId="Recitals">
    <w:name w:val="Recitals"/>
    <w:basedOn w:val="Normal"/>
    <w:rsid w:val="004F677B"/>
    <w:pPr>
      <w:ind w:left="851" w:hanging="851"/>
    </w:pPr>
  </w:style>
  <w:style w:type="paragraph" w:customStyle="1" w:styleId="Schedule1">
    <w:name w:val="Schedule 1"/>
    <w:basedOn w:val="Normal"/>
    <w:next w:val="Normal"/>
    <w:rsid w:val="004F677B"/>
    <w:pPr>
      <w:jc w:val="center"/>
    </w:pPr>
    <w:rPr>
      <w:b/>
      <w:caps/>
    </w:rPr>
  </w:style>
  <w:style w:type="paragraph" w:customStyle="1" w:styleId="Schedule2">
    <w:name w:val="Schedule 2"/>
    <w:basedOn w:val="Normal"/>
    <w:next w:val="Normal"/>
    <w:rsid w:val="004F677B"/>
    <w:pPr>
      <w:jc w:val="center"/>
    </w:pPr>
    <w:rPr>
      <w:b/>
      <w:caps/>
    </w:rPr>
  </w:style>
  <w:style w:type="paragraph" w:styleId="ListBullet">
    <w:name w:val="List Bullet"/>
    <w:basedOn w:val="Normal"/>
    <w:autoRedefine/>
    <w:rsid w:val="004F677B"/>
    <w:pPr>
      <w:numPr>
        <w:numId w:val="11"/>
      </w:numPr>
    </w:pPr>
  </w:style>
  <w:style w:type="paragraph" w:styleId="Header">
    <w:name w:val="header"/>
    <w:basedOn w:val="Normal"/>
    <w:rsid w:val="004F677B"/>
    <w:pPr>
      <w:tabs>
        <w:tab w:val="center" w:pos="4153"/>
        <w:tab w:val="right" w:pos="8306"/>
      </w:tabs>
    </w:pPr>
  </w:style>
  <w:style w:type="paragraph" w:styleId="Footer">
    <w:name w:val="footer"/>
    <w:basedOn w:val="Normal"/>
    <w:link w:val="FooterChar"/>
    <w:uiPriority w:val="99"/>
    <w:rsid w:val="004F677B"/>
    <w:pPr>
      <w:tabs>
        <w:tab w:val="center" w:pos="4153"/>
        <w:tab w:val="right" w:pos="8306"/>
      </w:tabs>
    </w:pPr>
  </w:style>
  <w:style w:type="character" w:styleId="PageNumber">
    <w:name w:val="page number"/>
    <w:basedOn w:val="DefaultParagraphFont"/>
    <w:rsid w:val="004F677B"/>
  </w:style>
  <w:style w:type="paragraph" w:styleId="TOC2">
    <w:name w:val="toc 2"/>
    <w:basedOn w:val="Normal"/>
    <w:next w:val="Normal"/>
    <w:autoRedefine/>
    <w:semiHidden/>
    <w:rsid w:val="004F677B"/>
    <w:pPr>
      <w:tabs>
        <w:tab w:val="left" w:pos="851"/>
        <w:tab w:val="right" w:pos="7938"/>
      </w:tabs>
      <w:spacing w:after="120"/>
      <w:ind w:left="2552" w:hanging="851"/>
    </w:pPr>
    <w:rPr>
      <w:b/>
      <w:noProof/>
    </w:rPr>
  </w:style>
  <w:style w:type="paragraph" w:styleId="TOC1">
    <w:name w:val="toc 1"/>
    <w:basedOn w:val="Normal"/>
    <w:next w:val="Normal"/>
    <w:autoRedefine/>
    <w:semiHidden/>
    <w:rsid w:val="004F677B"/>
    <w:pPr>
      <w:tabs>
        <w:tab w:val="left" w:pos="1701"/>
        <w:tab w:val="right" w:pos="7938"/>
      </w:tabs>
      <w:spacing w:after="120"/>
      <w:ind w:left="1701" w:hanging="1701"/>
    </w:pPr>
    <w:rPr>
      <w:b/>
      <w:caps/>
      <w:noProof/>
    </w:rPr>
  </w:style>
  <w:style w:type="paragraph" w:styleId="TOC3">
    <w:name w:val="toc 3"/>
    <w:basedOn w:val="Normal"/>
    <w:next w:val="Normal"/>
    <w:autoRedefine/>
    <w:semiHidden/>
    <w:rsid w:val="004F677B"/>
    <w:pPr>
      <w:ind w:left="440"/>
    </w:pPr>
  </w:style>
  <w:style w:type="paragraph" w:styleId="TOC4">
    <w:name w:val="toc 4"/>
    <w:basedOn w:val="Normal"/>
    <w:next w:val="Normal"/>
    <w:autoRedefine/>
    <w:semiHidden/>
    <w:rsid w:val="004F677B"/>
    <w:pPr>
      <w:ind w:left="660"/>
    </w:pPr>
  </w:style>
  <w:style w:type="paragraph" w:styleId="TOC5">
    <w:name w:val="toc 5"/>
    <w:basedOn w:val="Normal"/>
    <w:next w:val="Normal"/>
    <w:autoRedefine/>
    <w:semiHidden/>
    <w:rsid w:val="004F677B"/>
    <w:pPr>
      <w:ind w:left="880"/>
    </w:pPr>
  </w:style>
  <w:style w:type="paragraph" w:styleId="TOC6">
    <w:name w:val="toc 6"/>
    <w:basedOn w:val="Normal"/>
    <w:next w:val="Normal"/>
    <w:autoRedefine/>
    <w:semiHidden/>
    <w:rsid w:val="004F677B"/>
    <w:pPr>
      <w:ind w:left="1100"/>
    </w:pPr>
  </w:style>
  <w:style w:type="paragraph" w:styleId="TOC7">
    <w:name w:val="toc 7"/>
    <w:basedOn w:val="Normal"/>
    <w:next w:val="Normal"/>
    <w:autoRedefine/>
    <w:semiHidden/>
    <w:rsid w:val="004F677B"/>
    <w:pPr>
      <w:ind w:left="1320"/>
    </w:pPr>
  </w:style>
  <w:style w:type="paragraph" w:styleId="TOC8">
    <w:name w:val="toc 8"/>
    <w:basedOn w:val="Normal"/>
    <w:next w:val="Normal"/>
    <w:autoRedefine/>
    <w:semiHidden/>
    <w:rsid w:val="004F677B"/>
    <w:pPr>
      <w:ind w:left="1540"/>
    </w:pPr>
  </w:style>
  <w:style w:type="paragraph" w:styleId="TOC9">
    <w:name w:val="toc 9"/>
    <w:basedOn w:val="Normal"/>
    <w:next w:val="Normal"/>
    <w:autoRedefine/>
    <w:semiHidden/>
    <w:rsid w:val="004F677B"/>
    <w:pPr>
      <w:ind w:left="1760"/>
    </w:pPr>
  </w:style>
  <w:style w:type="character" w:customStyle="1" w:styleId="a">
    <w:name w:val="_"/>
    <w:basedOn w:val="DefaultParagraphFont"/>
    <w:rsid w:val="004F677B"/>
  </w:style>
  <w:style w:type="character" w:styleId="PlaceholderText">
    <w:name w:val="Placeholder Text"/>
    <w:basedOn w:val="DefaultParagraphFont"/>
    <w:uiPriority w:val="99"/>
    <w:semiHidden/>
    <w:rsid w:val="00205C7E"/>
    <w:rPr>
      <w:color w:val="808080"/>
    </w:rPr>
  </w:style>
  <w:style w:type="paragraph" w:customStyle="1" w:styleId="Greentext">
    <w:name w:val="Green text"/>
    <w:basedOn w:val="Normal"/>
    <w:link w:val="GreentextChar"/>
    <w:uiPriority w:val="1"/>
    <w:qFormat/>
    <w:rsid w:val="00A57DC7"/>
    <w:rPr>
      <w:color w:val="4EBFA7"/>
    </w:rPr>
  </w:style>
  <w:style w:type="character" w:customStyle="1" w:styleId="GreentextChar">
    <w:name w:val="Green text Char"/>
    <w:basedOn w:val="DefaultParagraphFont"/>
    <w:link w:val="Greentext"/>
    <w:uiPriority w:val="1"/>
    <w:rsid w:val="00A57DC7"/>
    <w:rPr>
      <w:color w:val="4EBFA7"/>
      <w:sz w:val="22"/>
      <w:lang w:eastAsia="en-US"/>
    </w:rPr>
  </w:style>
  <w:style w:type="character" w:customStyle="1" w:styleId="FooterChar">
    <w:name w:val="Footer Char"/>
    <w:basedOn w:val="DefaultParagraphFont"/>
    <w:link w:val="Footer"/>
    <w:uiPriority w:val="99"/>
    <w:rsid w:val="00601E8C"/>
    <w:rPr>
      <w:sz w:val="22"/>
      <w:lang w:eastAsia="en-US"/>
    </w:rPr>
  </w:style>
  <w:style w:type="character" w:styleId="CommentReference">
    <w:name w:val="annotation reference"/>
    <w:basedOn w:val="DefaultParagraphFont"/>
    <w:uiPriority w:val="99"/>
    <w:semiHidden/>
    <w:unhideWhenUsed/>
    <w:rsid w:val="0051197C"/>
    <w:rPr>
      <w:sz w:val="16"/>
      <w:szCs w:val="16"/>
    </w:rPr>
  </w:style>
  <w:style w:type="paragraph" w:styleId="CommentText">
    <w:name w:val="annotation text"/>
    <w:basedOn w:val="Normal"/>
    <w:link w:val="CommentTextChar"/>
    <w:uiPriority w:val="99"/>
    <w:unhideWhenUsed/>
    <w:rsid w:val="0051197C"/>
    <w:rPr>
      <w:sz w:val="20"/>
    </w:rPr>
  </w:style>
  <w:style w:type="character" w:customStyle="1" w:styleId="CommentTextChar">
    <w:name w:val="Comment Text Char"/>
    <w:basedOn w:val="DefaultParagraphFont"/>
    <w:link w:val="CommentText"/>
    <w:uiPriority w:val="99"/>
    <w:rsid w:val="0051197C"/>
    <w:rPr>
      <w:lang w:eastAsia="en-US"/>
    </w:rPr>
  </w:style>
  <w:style w:type="paragraph" w:styleId="CommentSubject">
    <w:name w:val="annotation subject"/>
    <w:basedOn w:val="CommentText"/>
    <w:next w:val="CommentText"/>
    <w:link w:val="CommentSubjectChar"/>
    <w:uiPriority w:val="99"/>
    <w:semiHidden/>
    <w:unhideWhenUsed/>
    <w:rsid w:val="0051197C"/>
    <w:rPr>
      <w:b/>
      <w:bCs/>
    </w:rPr>
  </w:style>
  <w:style w:type="character" w:customStyle="1" w:styleId="CommentSubjectChar">
    <w:name w:val="Comment Subject Char"/>
    <w:basedOn w:val="CommentTextChar"/>
    <w:link w:val="CommentSubject"/>
    <w:uiPriority w:val="99"/>
    <w:semiHidden/>
    <w:rsid w:val="0051197C"/>
    <w:rPr>
      <w:b/>
      <w:bCs/>
      <w:lang w:eastAsia="en-US"/>
    </w:rPr>
  </w:style>
  <w:style w:type="paragraph" w:styleId="Revision">
    <w:name w:val="Revision"/>
    <w:hidden/>
    <w:uiPriority w:val="99"/>
    <w:semiHidden/>
    <w:rsid w:val="007B549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Statement of Case for Stopping Up Order - Macklin Street and Colyear Street</vt:lpstr>
    </vt:vector>
  </TitlesOfParts>
  <Company>Walker Morris LLP</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Case for Stopping Up Order - Becketwell</dc:title>
  <dc:subject/>
  <dc:creator>Abir Ahmed</dc:creator>
  <cp:keywords>1</cp:keywords>
  <dc:description/>
  <cp:lastModifiedBy>Elizabeth Booth</cp:lastModifiedBy>
  <cp:revision>6</cp:revision>
  <cp:lastPrinted>1999-04-16T16:04:00Z</cp:lastPrinted>
  <dcterms:created xsi:type="dcterms:W3CDTF">2023-09-27T23:28:00Z</dcterms:created>
  <dcterms:modified xsi:type="dcterms:W3CDTF">2023-11-22T16:09:00Z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